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23169AB3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BF6469">
        <w:rPr>
          <w:b/>
          <w:bCs/>
          <w:sz w:val="28"/>
          <w:szCs w:val="28"/>
        </w:rPr>
        <w:t>12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6DD767E8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EF5B4B">
        <w:rPr>
          <w:b/>
          <w:bCs/>
          <w:sz w:val="28"/>
          <w:szCs w:val="28"/>
        </w:rPr>
        <w:t>1</w:t>
      </w:r>
      <w:r w:rsidR="00BF6469">
        <w:rPr>
          <w:b/>
          <w:bCs/>
          <w:sz w:val="28"/>
          <w:szCs w:val="28"/>
        </w:rPr>
        <w:t>4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</w:t>
      </w:r>
      <w:r w:rsidR="007667B1">
        <w:rPr>
          <w:b/>
          <w:bCs/>
          <w:sz w:val="28"/>
          <w:szCs w:val="28"/>
        </w:rPr>
        <w:t>1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2B4E7522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EF5B4B">
        <w:rPr>
          <w:b/>
          <w:bCs/>
          <w:sz w:val="28"/>
          <w:szCs w:val="28"/>
        </w:rPr>
        <w:t>3</w:t>
      </w:r>
      <w:r w:rsidR="00BF6469">
        <w:rPr>
          <w:b/>
          <w:bCs/>
          <w:sz w:val="28"/>
          <w:szCs w:val="28"/>
        </w:rPr>
        <w:t>1</w:t>
      </w:r>
      <w:r w:rsidR="00C5612D">
        <w:rPr>
          <w:b/>
          <w:bCs/>
          <w:sz w:val="28"/>
          <w:szCs w:val="28"/>
        </w:rPr>
        <w:t xml:space="preserve">: </w:t>
      </w:r>
      <w:r w:rsidR="00BF6469">
        <w:rPr>
          <w:b/>
          <w:bCs/>
          <w:sz w:val="28"/>
          <w:szCs w:val="28"/>
        </w:rPr>
        <w:t>TRI ÂN THẦY CÔ</w:t>
      </w:r>
    </w:p>
    <w:p w14:paraId="16EEFE83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9A69DB0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</w:p>
    <w:p w14:paraId="37FC4852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646F5465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lực</w:t>
      </w:r>
      <w:r w:rsidRPr="00EE1061">
        <w:rPr>
          <w:rFonts w:ascii="Times New Roman" w:hAnsi="Times New Roman" w:cs="Times New Roman"/>
          <w:sz w:val="28"/>
          <w:szCs w:val="28"/>
        </w:rPr>
        <w:t>HS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lự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14:paraId="1E058208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545A307E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</w:t>
      </w:r>
      <w:r>
        <w:rPr>
          <w:rFonts w:ascii="Times New Roman" w:hAnsi="Times New Roman" w:cs="Times New Roman"/>
          <w:sz w:val="28"/>
          <w:szCs w:val="28"/>
        </w:rPr>
        <w:t>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23032578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hùng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biệ</w:t>
      </w:r>
      <w:r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Nam 20-11.</w:t>
      </w:r>
    </w:p>
    <w:p w14:paraId="4AC14250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7319C91B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F450D0A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EE10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571218C4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C4CF2C3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0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tố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F0A21B1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22BB7113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với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GV</w:t>
      </w:r>
    </w:p>
    <w:p w14:paraId="0BED9D5A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ca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dao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ngôn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ki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giớ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ý,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sưu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....) </w:t>
      </w:r>
    </w:p>
    <w:p w14:paraId="35BA490F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ảnh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1061">
        <w:rPr>
          <w:rFonts w:ascii="Times New Roman" w:hAnsi="Times New Roman" w:cs="Times New Roman"/>
          <w:sz w:val="28"/>
          <w:szCs w:val="28"/>
        </w:rPr>
        <w:t>Nam 20-11</w:t>
      </w:r>
    </w:p>
    <w:p w14:paraId="4691833D" w14:textId="77777777" w:rsidR="00BF6469" w:rsidRPr="00EE1061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A4, A0,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dạ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EE1061">
        <w:rPr>
          <w:rFonts w:ascii="Times New Roman" w:hAnsi="Times New Roman" w:cs="Times New Roman"/>
          <w:sz w:val="28"/>
          <w:szCs w:val="28"/>
        </w:rPr>
        <w:t>.</w:t>
      </w:r>
    </w:p>
    <w:p w14:paraId="57649D3D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E106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Đối</w:t>
      </w:r>
      <w:proofErr w:type="spellEnd"/>
      <w:r w:rsidRPr="00EE106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1061">
        <w:rPr>
          <w:rFonts w:ascii="Times New Roman" w:hAnsi="Times New Roman" w:cs="Times New Roman"/>
          <w:b/>
          <w:sz w:val="28"/>
          <w:szCs w:val="28"/>
        </w:rPr>
        <w:t>vớ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HS</w:t>
      </w:r>
    </w:p>
    <w:p w14:paraId="49F12472" w14:textId="77777777" w:rsidR="00BF6469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SGK, </w:t>
      </w:r>
      <w:proofErr w:type="spellStart"/>
      <w:r>
        <w:rPr>
          <w:rFonts w:ascii="Times New Roman" w:hAnsi="Times New Roman" w:cs="Times New Roman"/>
          <w:sz w:val="28"/>
          <w:szCs w:val="28"/>
        </w:rPr>
        <w:t>vở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đồ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theo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GV.</w:t>
      </w:r>
    </w:p>
    <w:p w14:paraId="431009D9" w14:textId="77777777" w:rsidR="00BF6469" w:rsidRPr="00EE1061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1061">
        <w:rPr>
          <w:rFonts w:ascii="Times New Roman" w:hAnsi="Times New Roman" w:cs="Times New Roman"/>
          <w:b/>
          <w:sz w:val="28"/>
          <w:szCs w:val="28"/>
        </w:rPr>
        <w:t xml:space="preserve">III. TIẾN HÀNH </w:t>
      </w:r>
      <w:r>
        <w:rPr>
          <w:rFonts w:ascii="Times New Roman" w:hAnsi="Times New Roman" w:cs="Times New Roman"/>
          <w:b/>
          <w:sz w:val="28"/>
          <w:szCs w:val="28"/>
        </w:rPr>
        <w:t>DẠY HỌC</w:t>
      </w:r>
    </w:p>
    <w:p w14:paraId="353979ED" w14:textId="77777777" w:rsidR="00BF6469" w:rsidRPr="001C66B6" w:rsidRDefault="00BF6469" w:rsidP="00BF646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lastRenderedPageBreak/>
        <w:t>Thầy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cựu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toạ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</w:p>
    <w:p w14:paraId="79075C13" w14:textId="77777777" w:rsidR="00BF6469" w:rsidRPr="0038663C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</w:p>
    <w:p w14:paraId="2A644315" w14:textId="77777777" w:rsidR="00BF6469" w:rsidRPr="0038663C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ơn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xương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sẻ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36E51F8" w14:textId="77777777" w:rsidR="00BF6469" w:rsidRPr="0038663C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ca. TPT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1A4B9307" w14:textId="77777777" w:rsidR="00BF6469" w:rsidRPr="0038663C" w:rsidRDefault="00BF6469" w:rsidP="00BF646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605437A7" w14:textId="77777777" w:rsidR="00BF6469" w:rsidRPr="0038663C" w:rsidRDefault="00BF6469" w:rsidP="00BF646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19E7DFC8" w14:textId="77777777" w:rsidR="00BF6469" w:rsidRPr="0038663C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điều khiển lễ chào cờ.</w:t>
      </w:r>
    </w:p>
    <w:p w14:paraId="6F80B486" w14:textId="77777777" w:rsidR="00BF6469" w:rsidRPr="0038663C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Lớp trực tuần nhận xét thi đua.</w:t>
      </w:r>
    </w:p>
    <w:p w14:paraId="379A73B6" w14:textId="77777777" w:rsidR="00BF6469" w:rsidRPr="0038663C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TPT hoặc đại diện BGH nhận xét bổ sung và triển khai các công việc tuần mới.</w:t>
      </w:r>
    </w:p>
    <w:p w14:paraId="3B55F0D9" w14:textId="77777777" w:rsidR="00BF6469" w:rsidRPr="0038663C" w:rsidRDefault="00BF6469" w:rsidP="00BF646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</w:t>
      </w:r>
      <w:r>
        <w:rPr>
          <w:rFonts w:ascii="Times New Roman" w:hAnsi="Times New Roman" w:cs="Times New Roman"/>
          <w:b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38663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Thầy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trò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qua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thế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hệ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Mời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cựu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giáo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sinh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toạ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đàm</w:t>
      </w:r>
      <w:proofErr w:type="spellEnd"/>
    </w:p>
    <w:p w14:paraId="6B05859A" w14:textId="77777777" w:rsidR="00BF6469" w:rsidRPr="0038663C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4DE35DCE" w14:textId="77777777" w:rsidR="00BF6469" w:rsidRPr="0038663C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</w:p>
    <w:p w14:paraId="2692813A" w14:textId="77777777" w:rsidR="00BF6469" w:rsidRPr="0038663C" w:rsidRDefault="00BF6469" w:rsidP="00BF646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</w:p>
    <w:p w14:paraId="5D745C4B" w14:textId="77777777" w:rsidR="00BF6469" w:rsidRPr="0038663C" w:rsidRDefault="00BF6469" w:rsidP="00BF646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kết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quả buổi tọa đàm.</w:t>
      </w:r>
    </w:p>
    <w:p w14:paraId="54059B5C" w14:textId="77777777" w:rsidR="00BF6469" w:rsidRDefault="00BF6469" w:rsidP="00BF646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76260AC2" w14:textId="77777777" w:rsidR="00BF6469" w:rsidRPr="00996EAA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</w:t>
      </w:r>
      <w:r w:rsidRPr="00996EAA">
        <w:rPr>
          <w:rFonts w:ascii="Times New Roman" w:hAnsi="Times New Roman" w:cs="Times New Roman"/>
          <w:sz w:val="28"/>
          <w:szCs w:val="28"/>
        </w:rPr>
        <w:t>ược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Cấp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, BGH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mừng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kỉ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Việ</w:t>
      </w:r>
      <w:r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Nam.</w:t>
      </w:r>
    </w:p>
    <w:p w14:paraId="2C77BBB9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buổi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tọa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đàm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6EAA">
        <w:rPr>
          <w:rFonts w:ascii="Times New Roman" w:hAnsi="Times New Roman" w:cs="Times New Roman"/>
          <w:sz w:val="28"/>
          <w:szCs w:val="28"/>
        </w:rPr>
        <w:t xml:space="preserve">Ban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họ</w:t>
      </w:r>
      <w:r>
        <w:rPr>
          <w:rFonts w:ascii="Times New Roman" w:hAnsi="Times New Roman" w:cs="Times New Roman"/>
          <w:sz w:val="28"/>
          <w:szCs w:val="28"/>
        </w:rPr>
        <w:t>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BGH,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697CCE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r w:rsidRPr="008C37F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8C37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7F2">
        <w:rPr>
          <w:rFonts w:ascii="Times New Roman" w:hAnsi="Times New Roman" w:cs="Times New Roman"/>
          <w:sz w:val="28"/>
          <w:szCs w:val="28"/>
        </w:rPr>
        <w:t>biểu</w:t>
      </w:r>
      <w:r w:rsidRPr="00996EAA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ơn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cán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kì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đóng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đang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dõi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996E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6EAA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1E5A115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1618FF2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BGH </w:t>
      </w:r>
      <w:proofErr w:type="spellStart"/>
      <w:r>
        <w:rPr>
          <w:rFonts w:ascii="Times New Roman" w:hAnsi="Times New Roman" w:cs="Times New Roman"/>
          <w:sz w:val="28"/>
          <w:szCs w:val="28"/>
        </w:rPr>
        <w:t>tặng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cựu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46DC37A4" w14:textId="77777777" w:rsidR="00BF6469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mục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4F6AD2" w14:textId="77777777" w:rsidR="00BF6469" w:rsidRPr="001C66B6" w:rsidRDefault="00BF6469" w:rsidP="00BF6469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TPT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buổi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tọa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đàm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lastRenderedPageBreak/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4252" w14:textId="77777777" w:rsidR="002C0D32" w:rsidRDefault="002C0D32" w:rsidP="00F629EF">
      <w:pPr>
        <w:spacing w:after="0" w:line="240" w:lineRule="auto"/>
      </w:pPr>
      <w:r>
        <w:separator/>
      </w:r>
    </w:p>
  </w:endnote>
  <w:endnote w:type="continuationSeparator" w:id="0">
    <w:p w14:paraId="33EC1CC9" w14:textId="77777777" w:rsidR="002C0D32" w:rsidRDefault="002C0D32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E7261" w14:textId="77777777" w:rsidR="002C0D32" w:rsidRDefault="002C0D32" w:rsidP="00F629EF">
      <w:pPr>
        <w:spacing w:after="0" w:line="240" w:lineRule="auto"/>
      </w:pPr>
      <w:r>
        <w:separator/>
      </w:r>
    </w:p>
  </w:footnote>
  <w:footnote w:type="continuationSeparator" w:id="0">
    <w:p w14:paraId="4BEA47ED" w14:textId="77777777" w:rsidR="002C0D32" w:rsidRDefault="002C0D32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1B5CB0"/>
    <w:multiLevelType w:val="hybridMultilevel"/>
    <w:tmpl w:val="51106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8"/>
  </w:num>
  <w:num w:numId="3" w16cid:durableId="333846196">
    <w:abstractNumId w:val="17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9"/>
  </w:num>
  <w:num w:numId="7" w16cid:durableId="95972361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4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6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3"/>
  </w:num>
  <w:num w:numId="28" w16cid:durableId="1906262586">
    <w:abstractNumId w:val="28"/>
  </w:num>
  <w:num w:numId="29" w16cid:durableId="382170336">
    <w:abstractNumId w:val="20"/>
  </w:num>
  <w:num w:numId="30" w16cid:durableId="261768447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2C0D32"/>
    <w:rsid w:val="0034121B"/>
    <w:rsid w:val="003635DE"/>
    <w:rsid w:val="003D24AE"/>
    <w:rsid w:val="0040413D"/>
    <w:rsid w:val="00453894"/>
    <w:rsid w:val="004B22DE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804AC"/>
    <w:rsid w:val="006D296A"/>
    <w:rsid w:val="007034EB"/>
    <w:rsid w:val="007667B1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AD0E8C"/>
    <w:rsid w:val="00B11CC3"/>
    <w:rsid w:val="00B24182"/>
    <w:rsid w:val="00B42E69"/>
    <w:rsid w:val="00B85DD2"/>
    <w:rsid w:val="00BB3E50"/>
    <w:rsid w:val="00BF6469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EF5B4B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2023-02-20T13:35:00Z</dcterms:created>
  <dcterms:modified xsi:type="dcterms:W3CDTF">2023-02-20T13:35:00Z</dcterms:modified>
</cp:coreProperties>
</file>