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D6F3D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>BẢNG 1:</w:t>
      </w:r>
    </w:p>
    <w:p w14:paraId="23912911" w14:textId="77777777" w:rsidR="00ED7CF9" w:rsidRPr="00CD4591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459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MA TRẬN +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ĐẶC TẢ MỨC ĐỘ ĐÁNH GIÁ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TỔNG THỂ </w:t>
      </w:r>
      <w:r>
        <w:rPr>
          <w:rFonts w:ascii="Times New Roman" w:eastAsia="Calibri" w:hAnsi="Times New Roman" w:cs="Times New Roman"/>
          <w:b/>
          <w:sz w:val="28"/>
          <w:szCs w:val="28"/>
        </w:rPr>
        <w:t>GIỮA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KÌ II </w:t>
      </w:r>
      <w:r w:rsidRPr="00CD4591">
        <w:rPr>
          <w:rFonts w:ascii="Times New Roman" w:eastAsia="Calibri" w:hAnsi="Times New Roman" w:cs="Times New Roman"/>
          <w:b/>
          <w:sz w:val="28"/>
          <w:szCs w:val="28"/>
          <w:lang w:val="vi-VN"/>
        </w:rPr>
        <w:t>MÔN TOÁN LỚP</w:t>
      </w:r>
      <w:r w:rsidRPr="00CD4591">
        <w:rPr>
          <w:rFonts w:ascii="Times New Roman" w:eastAsia="Calibri" w:hAnsi="Times New Roman" w:cs="Times New Roman"/>
          <w:b/>
          <w:sz w:val="28"/>
          <w:szCs w:val="28"/>
        </w:rPr>
        <w:t xml:space="preserve"> 7</w:t>
      </w:r>
    </w:p>
    <w:p w14:paraId="12E1239B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CD4591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(BẢNG NÀY LẬP VÀ LƯU TRONG MÁY ĐỂ DÙNG TẠO RA BẢNG 2 KHI CẦN RA ĐỀ)</w:t>
      </w:r>
    </w:p>
    <w:tbl>
      <w:tblPr>
        <w:tblStyle w:val="TableGrid"/>
        <w:tblW w:w="1545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09"/>
        <w:gridCol w:w="1276"/>
        <w:gridCol w:w="1701"/>
        <w:gridCol w:w="3175"/>
        <w:gridCol w:w="936"/>
        <w:gridCol w:w="686"/>
        <w:gridCol w:w="949"/>
        <w:gridCol w:w="674"/>
        <w:gridCol w:w="1093"/>
        <w:gridCol w:w="850"/>
        <w:gridCol w:w="1134"/>
        <w:gridCol w:w="851"/>
        <w:gridCol w:w="1417"/>
      </w:tblGrid>
      <w:tr w:rsidR="00ED7CF9" w:rsidRPr="00C86432" w14:paraId="38B1C989" w14:textId="77777777" w:rsidTr="00ED7CF9">
        <w:trPr>
          <w:trHeight w:val="174"/>
        </w:trPr>
        <w:tc>
          <w:tcPr>
            <w:tcW w:w="709" w:type="dxa"/>
            <w:vMerge w:val="restart"/>
            <w:vAlign w:val="center"/>
          </w:tcPr>
          <w:p w14:paraId="621FAE2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  <w:p w14:paraId="7468D4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74AE08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(1)</w:t>
            </w:r>
          </w:p>
        </w:tc>
        <w:tc>
          <w:tcPr>
            <w:tcW w:w="1276" w:type="dxa"/>
            <w:vMerge w:val="restart"/>
            <w:vAlign w:val="center"/>
          </w:tcPr>
          <w:p w14:paraId="5376A50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Chương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/</w:t>
            </w:r>
          </w:p>
          <w:p w14:paraId="09A59EB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  <w:p w14:paraId="31C77E0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(2)</w:t>
            </w:r>
          </w:p>
        </w:tc>
        <w:tc>
          <w:tcPr>
            <w:tcW w:w="1701" w:type="dxa"/>
            <w:vMerge w:val="restart"/>
            <w:vAlign w:val="center"/>
          </w:tcPr>
          <w:p w14:paraId="4D3B4D7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  <w:p w14:paraId="7718273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(3)</w:t>
            </w:r>
          </w:p>
        </w:tc>
        <w:tc>
          <w:tcPr>
            <w:tcW w:w="3175" w:type="dxa"/>
            <w:vMerge w:val="restart"/>
            <w:vAlign w:val="center"/>
          </w:tcPr>
          <w:p w14:paraId="74A590B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  <w:p w14:paraId="0EAEBD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</w:p>
          <w:p w14:paraId="60AA1B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(4)</w:t>
            </w:r>
          </w:p>
        </w:tc>
        <w:tc>
          <w:tcPr>
            <w:tcW w:w="7173" w:type="dxa"/>
            <w:gridSpan w:val="8"/>
          </w:tcPr>
          <w:p w14:paraId="7900B65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Số câu hỏi theo mức độ nhận thức</w:t>
            </w:r>
          </w:p>
        </w:tc>
        <w:tc>
          <w:tcPr>
            <w:tcW w:w="1417" w:type="dxa"/>
            <w:vMerge w:val="restart"/>
          </w:tcPr>
          <w:p w14:paraId="2B6003F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  <w:t>Tổng</w:t>
            </w: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%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điểm</w:t>
            </w:r>
            <w:proofErr w:type="spellEnd"/>
          </w:p>
          <w:p w14:paraId="1D85FFC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(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</w:rPr>
              <w:t>13</w:t>
            </w:r>
            <w:r w:rsidRPr="00C86432">
              <w:rPr>
                <w:rFonts w:eastAsia="Calibri" w:cs="Times New Roman"/>
                <w:b/>
                <w:color w:val="FF0000"/>
                <w:spacing w:val="-8"/>
                <w:sz w:val="24"/>
                <w:szCs w:val="24"/>
                <w:lang w:val="vi-VN"/>
              </w:rPr>
              <w:t>)</w:t>
            </w:r>
          </w:p>
        </w:tc>
      </w:tr>
      <w:tr w:rsidR="00ED7CF9" w:rsidRPr="00C86432" w14:paraId="290ABC50" w14:textId="77777777" w:rsidTr="00ED7CF9">
        <w:trPr>
          <w:trHeight w:val="272"/>
        </w:trPr>
        <w:tc>
          <w:tcPr>
            <w:tcW w:w="709" w:type="dxa"/>
            <w:vMerge/>
            <w:vAlign w:val="center"/>
          </w:tcPr>
          <w:p w14:paraId="178D639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2633458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7FEBDB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22C1948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</w:tcPr>
          <w:p w14:paraId="776C31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Nhận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biết</w:t>
            </w:r>
            <w:proofErr w:type="spellEnd"/>
          </w:p>
        </w:tc>
        <w:tc>
          <w:tcPr>
            <w:tcW w:w="1623" w:type="dxa"/>
            <w:gridSpan w:val="2"/>
          </w:tcPr>
          <w:p w14:paraId="0CAC0F2C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Thông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hiểu</w:t>
            </w:r>
            <w:proofErr w:type="spellEnd"/>
          </w:p>
        </w:tc>
        <w:tc>
          <w:tcPr>
            <w:tcW w:w="1943" w:type="dxa"/>
            <w:gridSpan w:val="2"/>
          </w:tcPr>
          <w:p w14:paraId="3FCEC77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</w:p>
        </w:tc>
        <w:tc>
          <w:tcPr>
            <w:tcW w:w="1985" w:type="dxa"/>
            <w:gridSpan w:val="2"/>
          </w:tcPr>
          <w:p w14:paraId="7AC677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Vận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dụng</w:t>
            </w:r>
            <w:proofErr w:type="spellEnd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cao</w:t>
            </w:r>
            <w:proofErr w:type="spellEnd"/>
          </w:p>
        </w:tc>
        <w:tc>
          <w:tcPr>
            <w:tcW w:w="1417" w:type="dxa"/>
            <w:vMerge/>
          </w:tcPr>
          <w:p w14:paraId="2AD0D86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122C56D8" w14:textId="77777777" w:rsidTr="00ED7CF9">
        <w:trPr>
          <w:trHeight w:val="304"/>
        </w:trPr>
        <w:tc>
          <w:tcPr>
            <w:tcW w:w="709" w:type="dxa"/>
            <w:vMerge/>
            <w:vAlign w:val="center"/>
          </w:tcPr>
          <w:p w14:paraId="1BE71B3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  <w:vAlign w:val="center"/>
          </w:tcPr>
          <w:p w14:paraId="0C0AB6E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701" w:type="dxa"/>
            <w:vMerge/>
            <w:vAlign w:val="center"/>
          </w:tcPr>
          <w:p w14:paraId="1217E48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vMerge/>
            <w:vAlign w:val="center"/>
          </w:tcPr>
          <w:p w14:paraId="39A61D3A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34BC1748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2ED5FD80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626AD0E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674" w:type="dxa"/>
            <w:shd w:val="clear" w:color="auto" w:fill="DEEAF6"/>
            <w:vAlign w:val="center"/>
          </w:tcPr>
          <w:p w14:paraId="36DCC047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DC92A8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0" w:type="dxa"/>
            <w:shd w:val="clear" w:color="auto" w:fill="FFF2CC"/>
            <w:vAlign w:val="center"/>
          </w:tcPr>
          <w:p w14:paraId="3971428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491110F3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TNKQ</w:t>
            </w:r>
          </w:p>
        </w:tc>
        <w:tc>
          <w:tcPr>
            <w:tcW w:w="851" w:type="dxa"/>
            <w:shd w:val="clear" w:color="auto" w:fill="EDEDED"/>
            <w:vAlign w:val="center"/>
          </w:tcPr>
          <w:p w14:paraId="2EC41C0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  <w:t>TL</w:t>
            </w:r>
          </w:p>
        </w:tc>
        <w:tc>
          <w:tcPr>
            <w:tcW w:w="1417" w:type="dxa"/>
            <w:vMerge/>
          </w:tcPr>
          <w:p w14:paraId="347546D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</w:tr>
      <w:tr w:rsidR="00ED7CF9" w:rsidRPr="00C86432" w14:paraId="40896C0C" w14:textId="77777777" w:rsidTr="00ED7CF9">
        <w:trPr>
          <w:trHeight w:val="3437"/>
        </w:trPr>
        <w:tc>
          <w:tcPr>
            <w:tcW w:w="709" w:type="dxa"/>
            <w:vMerge w:val="restart"/>
          </w:tcPr>
          <w:p w14:paraId="4A0C45AE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276" w:type="dxa"/>
            <w:vMerge w:val="restart"/>
          </w:tcPr>
          <w:p w14:paraId="53D9FA4D" w14:textId="77777777" w:rsid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1</w:t>
            </w: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:</w:t>
            </w:r>
          </w:p>
          <w:p w14:paraId="6C6450DC" w14:textId="77777777" w:rsidR="00ED7CF9" w:rsidRPr="00F005D9" w:rsidRDefault="00ED7CF9" w:rsidP="000940C7">
            <w:pPr>
              <w:spacing w:line="276" w:lineRule="auto"/>
              <w:rPr>
                <w:rFonts w:eastAsia="Calibri" w:cs="Times New Roman"/>
                <w:b/>
                <w:spacing w:val="-8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Một số yếu tố thống kê, xác suát</w:t>
            </w:r>
          </w:p>
        </w:tc>
        <w:tc>
          <w:tcPr>
            <w:tcW w:w="1701" w:type="dxa"/>
            <w:vMerge w:val="restart"/>
          </w:tcPr>
          <w:p w14:paraId="5F7EEF8C" w14:textId="77777777" w:rsidR="00ED7CF9" w:rsidRPr="00ED7CF9" w:rsidRDefault="00ED7CF9" w:rsidP="000940C7">
            <w:pPr>
              <w:spacing w:line="276" w:lineRule="auto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ED7CF9"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  <w:lang w:val="da-DK"/>
              </w:rPr>
              <w:t>Nội dung 1:</w:t>
            </w:r>
          </w:p>
          <w:p w14:paraId="23B8AFC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Thu thập và tổ chức dữ liệu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,</w:t>
            </w: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ED7CF9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da-DK"/>
              </w:rPr>
              <w:t>p</w:t>
            </w:r>
            <w:r w:rsidRPr="00F4438E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 xml:space="preserve">hân tích và xử lí </w:t>
            </w: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dữ liệu</w:t>
            </w:r>
          </w:p>
          <w:p w14:paraId="7F3CC1B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8E10B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87301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4BF88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28B4D8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52939A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996D71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AC6C2D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2D3CD2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831D2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024B5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0113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E99879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F43ED8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1BAF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438C734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13EE0E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44684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4AEF5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5CCFA1B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3A3B04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9AF79A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BDAC2E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274CDF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0E9536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187F0499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BE01C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FA2E5F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75D0A5F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763CFF3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B2D9DA1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3005092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4C3DB51A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7659714C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605C5C0E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52447135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da-DK"/>
              </w:rPr>
            </w:pPr>
          </w:p>
          <w:p w14:paraId="26B7DC37" w14:textId="77777777" w:rsidR="00ED7CF9" w:rsidRP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687FB46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lastRenderedPageBreak/>
              <w:t>Nhận biết:</w:t>
            </w:r>
          </w:p>
          <w:p w14:paraId="59BFAFB4" w14:textId="77777777" w:rsidR="00ED7CF9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ED7CF9">
              <w:rPr>
                <w:rFonts w:eastAsia="Times New Roman" w:cs="Times New Roman"/>
                <w:noProof/>
                <w:color w:val="000000"/>
                <w:sz w:val="26"/>
                <w:szCs w:val="26"/>
                <w:lang w:val="da-DK"/>
              </w:rPr>
              <w:t xml:space="preserve">bảng biểu, thấy được tính hợp lý của dữ liệu , phân biệt được các loại biểu đồ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29C46F39" w14:textId="77777777" w:rsidR="000940C7" w:rsidRPr="000940C7" w:rsidRDefault="000940C7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Cs/>
                <w:noProof/>
                <w:color w:val="000000"/>
                <w:sz w:val="26"/>
                <w:szCs w:val="26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EBA795" w14:textId="77777777" w:rsidR="00ED7CF9" w:rsidRPr="00166116" w:rsidRDefault="00ED7CF9" w:rsidP="000940C7">
            <w:pPr>
              <w:spacing w:line="276" w:lineRule="auto"/>
              <w:jc w:val="center"/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1</w:t>
            </w:r>
          </w:p>
          <w:p w14:paraId="3E89031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 w:rsidRPr="00166116">
              <w:rPr>
                <w:rFonts w:eastAsia="Calibri" w:cs="Times New Roman"/>
                <w:color w:val="000000" w:themeColor="text1"/>
                <w:spacing w:val="-8"/>
                <w:sz w:val="24"/>
                <w:szCs w:val="24"/>
                <w:lang w:val="en-AU"/>
              </w:rPr>
              <w:t>(0,5đ)</w:t>
            </w:r>
          </w:p>
        </w:tc>
        <w:tc>
          <w:tcPr>
            <w:tcW w:w="686" w:type="dxa"/>
            <w:shd w:val="clear" w:color="auto" w:fill="E2EFD9"/>
          </w:tcPr>
          <w:p w14:paraId="2947EB29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71556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891B44B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8BE56B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0" w:type="dxa"/>
            <w:shd w:val="clear" w:color="auto" w:fill="FFF2CC"/>
          </w:tcPr>
          <w:p w14:paraId="2912AB6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4C45D22D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</w:tcPr>
          <w:p w14:paraId="2D9CE0B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</w:tcPr>
          <w:p w14:paraId="76649FB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D4F4EC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368CE28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5DC546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009DCB3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5B798996" w14:textId="77777777" w:rsidTr="00ED7CF9">
        <w:trPr>
          <w:trHeight w:val="841"/>
        </w:trPr>
        <w:tc>
          <w:tcPr>
            <w:tcW w:w="709" w:type="dxa"/>
            <w:vMerge/>
          </w:tcPr>
          <w:p w14:paraId="7302E040" w14:textId="77777777" w:rsidR="00ED7CF9" w:rsidRPr="00C86432" w:rsidRDefault="00ED7CF9" w:rsidP="000940C7">
            <w:pPr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5061DF06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55B5D90C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3C548278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111DF8A8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tính hợp lí của dữ liệu theo các tiêu chí toán học đơn giản (ví dụ: tính hợp lí, tính đại diện của một kết luận trong phỏng vấn; tính hợp lí của các quảng cáo;...).</w:t>
            </w:r>
          </w:p>
          <w:p w14:paraId="45D90E50" w14:textId="77777777" w:rsidR="00ED7CF9" w:rsidRDefault="00ED7CF9" w:rsidP="000940C7">
            <w:pPr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– Đọc và mô tả được các dữ liệu ở dạng biểu đồ thống kê: biểu đồ hình quạt tròn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306DF44" w14:textId="77777777" w:rsidR="00ED7CF9" w:rsidRPr="00DF3C93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ra được vấn đề hoặc quy luật đơn giản dựa trên phân tích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B00321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6074D124" w14:textId="77777777" w:rsidR="00ED7CF9" w:rsidRP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C884F3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14538B2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40D59F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F411E9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03E5F3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63D89AC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07B6823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7FAD204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2FBB865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81E06A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42F149D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</w:p>
          <w:p w14:paraId="3DA9D66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7921FF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lastRenderedPageBreak/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74" w:type="dxa"/>
            <w:shd w:val="clear" w:color="auto" w:fill="DEEAF6"/>
            <w:vAlign w:val="bottom"/>
          </w:tcPr>
          <w:p w14:paraId="7BE0AFE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C81537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7E2CE1A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097D4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E190C9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044B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CAACE1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572C0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E3FC3E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F4C69B0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F51E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C7560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5DF8BCE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lastRenderedPageBreak/>
              <w:t>(1,0)</w:t>
            </w:r>
          </w:p>
          <w:p w14:paraId="2A74AA9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8C20CB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76DE3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DB6DF1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B9A2DF5" w14:textId="77777777" w:rsidR="00ED7CF9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4E1E259" w14:textId="77777777" w:rsidR="00ED7CF9" w:rsidRPr="00434275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8B5621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6180426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1080389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2208DF04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960593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04B9F1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0234F2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5A1946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C6A3C2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98524B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DF49A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818F06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FCB280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FCBB6D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5321A36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248E2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15%</w:t>
            </w:r>
          </w:p>
          <w:p w14:paraId="7B6EC788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3E9AA49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636925B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6996CBF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6EDC45D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A92E99E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193754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F6C5EB1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</w:tr>
      <w:tr w:rsidR="00ED7CF9" w:rsidRPr="00C86432" w14:paraId="765D7F49" w14:textId="77777777" w:rsidTr="00ED7CF9">
        <w:trPr>
          <w:trHeight w:val="1169"/>
        </w:trPr>
        <w:tc>
          <w:tcPr>
            <w:tcW w:w="709" w:type="dxa"/>
            <w:vMerge/>
          </w:tcPr>
          <w:p w14:paraId="60A01EC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79CA7A1B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/>
          </w:tcPr>
          <w:p w14:paraId="67BB63A1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1AEA0137" w14:textId="77777777" w:rsidR="00ED7CF9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  <w:t>V</w:t>
            </w:r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  <w:t>ận dụng</w:t>
            </w:r>
          </w:p>
          <w:p w14:paraId="1E3D59C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Thực hiện và lí giải được việc thu thập, phân loại dữ liệu theo các tiêu chí cho trước từ những nguồn: văn bản, bảng biểu, kiến thức trong các môn học khác và trong thực tiễn.  </w:t>
            </w:r>
          </w:p>
          <w:p w14:paraId="32A9BCA6" w14:textId="77777777" w:rsidR="00ED7CF9" w:rsidRDefault="00ED7CF9" w:rsidP="000940C7">
            <w:pPr>
              <w:spacing w:before="60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 xml:space="preserve">Lựa chọn và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biểu diễn được dữ liệu vào bảng, biểu đồ thích hợp 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).</w:t>
            </w:r>
          </w:p>
          <w:p w14:paraId="34B6FD3A" w14:textId="77777777" w:rsidR="00ED7CF9" w:rsidRPr="008E501A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 xml:space="preserve">– Giải quyết được những vấn </w:t>
            </w:r>
            <w:r w:rsidRPr="00F4438E">
              <w:rPr>
                <w:rFonts w:eastAsia="Calibri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lastRenderedPageBreak/>
              <w:t xml:space="preserve">đề đơn giản liên quan đến các số liệu thu được 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ở dạng: biểu đồ hình quạt tròn (cho sẵn)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pie chart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); biểu đồ đoạn thẳng (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pacing w:val="-8"/>
                <w:sz w:val="26"/>
                <w:szCs w:val="26"/>
                <w:lang w:val="vi-VN"/>
              </w:rPr>
              <w:t>line graph</w:t>
            </w:r>
            <w:r w:rsidRPr="00F4438E">
              <w:rPr>
                <w:rFonts w:eastAsia="Times New Roman" w:cs="Times New Roman"/>
                <w:noProof/>
                <w:color w:val="000000"/>
                <w:spacing w:val="-8"/>
                <w:sz w:val="26"/>
                <w:szCs w:val="26"/>
                <w:lang w:val="vi-VN"/>
              </w:rPr>
              <w:t>).</w:t>
            </w:r>
          </w:p>
          <w:p w14:paraId="6B1D7A80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4F177EF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</w:tcPr>
          <w:p w14:paraId="1E92FA5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79AD8BD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5A798B2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3DCFFE3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051665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DCF8D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76C079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C2E92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76648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4FBDBE5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D2FD141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E7BAE9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9E49F34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32BC866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57BEDB7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5B3AFA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CF27D30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4DB9515C" w14:textId="77777777" w:rsidR="00ED7CF9" w:rsidRP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  <w:vAlign w:val="center"/>
          </w:tcPr>
          <w:p w14:paraId="597315BB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 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158292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 xml:space="preserve"> 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673EFA7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851" w:type="dxa"/>
            <w:shd w:val="clear" w:color="auto" w:fill="EDEDED"/>
            <w:vAlign w:val="center"/>
          </w:tcPr>
          <w:p w14:paraId="761CC3B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</w:tc>
        <w:tc>
          <w:tcPr>
            <w:tcW w:w="1417" w:type="dxa"/>
            <w:vAlign w:val="center"/>
          </w:tcPr>
          <w:p w14:paraId="488CF455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62864B33" w14:textId="77777777" w:rsidR="00ED7CF9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</w:p>
          <w:p w14:paraId="54FFDA10" w14:textId="77777777" w:rsidR="00ED7CF9" w:rsidRPr="00C86432" w:rsidRDefault="00ED7CF9" w:rsidP="000940C7">
            <w:pPr>
              <w:spacing w:line="276" w:lineRule="auto"/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1FB0FBF3" w14:textId="77777777" w:rsidTr="00ED7CF9">
        <w:trPr>
          <w:trHeight w:val="70"/>
        </w:trPr>
        <w:tc>
          <w:tcPr>
            <w:tcW w:w="709" w:type="dxa"/>
            <w:vMerge w:val="restart"/>
            <w:vAlign w:val="center"/>
          </w:tcPr>
          <w:p w14:paraId="7BE90D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  <w:p w14:paraId="36C35C1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FB0F0D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214461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ED0CB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B207D9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7FA44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13CD68F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A40C8A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25DE73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77AEB5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1A326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B02F1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AFAC56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51731BC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47FDF06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3FC2EA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95AB7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4DF8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D5ADFA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7243C3D7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CBD00B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69D0949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01E13C3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38D028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  <w:p w14:paraId="24B28A3E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706E456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168D12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D2C146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F1710A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2E6A5B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5704F8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0A78CB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CD20F1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7591B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76332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03A1CEB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183812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CFE33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F02AFC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51DE52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6EC885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B3771E2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918C3B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61A254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4157CFE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776918C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15E96C7B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 w:rsidRPr="00C86432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 xml:space="preserve">Chủ đề 2: </w:t>
            </w: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Biểu thức đại số</w:t>
            </w:r>
          </w:p>
          <w:p w14:paraId="36F375D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4FC73B3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53EF7584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247C1A7A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81085C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3CE8D366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  <w:p w14:paraId="4B02BB0F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b/>
                <w:spacing w:val="-8"/>
                <w:sz w:val="24"/>
                <w:szCs w:val="24"/>
                <w:lang w:val="en-AU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42CF0178" w14:textId="77777777" w:rsidR="00ED7CF9" w:rsidRPr="00D71ED0" w:rsidRDefault="00ED7CF9" w:rsidP="000940C7">
            <w:pPr>
              <w:spacing w:line="276" w:lineRule="auto"/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</w:pPr>
            <w:r w:rsidRPr="00D71ED0">
              <w:rPr>
                <w:rFonts w:eastAsia="Calibri" w:cs="Times New Roman"/>
                <w:b/>
                <w:noProof/>
                <w:color w:val="000000"/>
                <w:sz w:val="24"/>
                <w:szCs w:val="26"/>
              </w:rPr>
              <w:lastRenderedPageBreak/>
              <w:t>Nội dung 2:</w:t>
            </w:r>
          </w:p>
          <w:p w14:paraId="1A783C53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noProof/>
                <w:color w:val="000000"/>
                <w:sz w:val="26"/>
                <w:szCs w:val="26"/>
                <w:lang w:val="vi-VN"/>
              </w:rPr>
              <w:t>Một số yếu tố xác suất</w:t>
            </w:r>
          </w:p>
        </w:tc>
        <w:tc>
          <w:tcPr>
            <w:tcW w:w="3175" w:type="dxa"/>
          </w:tcPr>
          <w:p w14:paraId="11AF0CEE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038FB299" w14:textId="77777777" w:rsidR="00ED7CF9" w:rsidRP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Làm quen với</w:t>
            </w:r>
            <w:r w:rsidRPr="00F4438E">
              <w:rPr>
                <w:rFonts w:eastAsia="Calibri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các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khái niệm mở đầu về biến cố ngẫu nhiên và xác suất</w:t>
            </w:r>
            <w:r w:rsidRPr="00F4438E">
              <w:rPr>
                <w:rFonts w:eastAsia="Times New Roman" w:cs="Times New Roman"/>
                <w:i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của biến cố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ngẫu nhiên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trong các ví dụ đơn giản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AC34A89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710F310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  <w:vAlign w:val="center"/>
          </w:tcPr>
          <w:p w14:paraId="6ED8A96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8E839A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FF77B2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643D553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FFA55E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1BF3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4BB57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737D0EE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  <w:lang w:val="fr-FR"/>
              </w:rPr>
              <w:t>5%</w:t>
            </w:r>
          </w:p>
        </w:tc>
      </w:tr>
      <w:tr w:rsidR="00ED7CF9" w:rsidRPr="00C86432" w14:paraId="655B6139" w14:textId="77777777" w:rsidTr="00ED7CF9">
        <w:trPr>
          <w:trHeight w:val="983"/>
        </w:trPr>
        <w:tc>
          <w:tcPr>
            <w:tcW w:w="709" w:type="dxa"/>
            <w:vMerge/>
            <w:vAlign w:val="center"/>
          </w:tcPr>
          <w:p w14:paraId="63BE674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14:paraId="1A8CEC02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2B46BAB5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</w:tcPr>
          <w:p w14:paraId="53756B26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>Thông hiểu:</w:t>
            </w:r>
          </w:p>
          <w:p w14:paraId="5A9C6FE3" w14:textId="77777777" w:rsidR="00ED7CF9" w:rsidRDefault="00ED7CF9" w:rsidP="000940C7">
            <w:pPr>
              <w:spacing w:before="60"/>
              <w:rPr>
                <w:rFonts w:eastAsia="Calibri" w:cs="Times New Roman"/>
                <w:b/>
                <w:bCs/>
                <w:spacing w:val="-8"/>
                <w:sz w:val="24"/>
                <w:szCs w:val="24"/>
              </w:rPr>
            </w:pPr>
            <w:r w:rsidRPr="00F4438E">
              <w:rPr>
                <w:rFonts w:eastAsia="Calibri" w:cs="Times New Roman"/>
                <w:noProof/>
                <w:color w:val="000000"/>
                <w:sz w:val="26"/>
                <w:szCs w:val="26"/>
                <w:lang w:val="vi-VN"/>
              </w:rPr>
              <w:t>– Nhận biết được xác suất của một biến cố ngẫu nhiên trong một số ví dụ đơn giản (ví dụ: lấy bóng trong túi, tung xúc xắc,...).</w:t>
            </w:r>
          </w:p>
          <w:p w14:paraId="3E7D449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6BC0DC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shd w:val="clear" w:color="auto" w:fill="E2EFD9"/>
            <w:vAlign w:val="center"/>
          </w:tcPr>
          <w:p w14:paraId="5769270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780AA63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4B98273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7250D2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537720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1C28E40B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7C1488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7D07FDF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36A5E868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5D1C051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ACB916F" w14:textId="77777777" w:rsidR="00ED7CF9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E971707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52DABE29" w14:textId="77777777" w:rsidTr="00ED7CF9">
        <w:trPr>
          <w:trHeight w:val="847"/>
        </w:trPr>
        <w:tc>
          <w:tcPr>
            <w:tcW w:w="709" w:type="dxa"/>
            <w:vMerge/>
          </w:tcPr>
          <w:p w14:paraId="7DADC74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0EC4085B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118138D8" w14:textId="77777777" w:rsidR="00ED7CF9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>Biểu thức đại số</w:t>
            </w:r>
          </w:p>
          <w:p w14:paraId="256E6946" w14:textId="77777777" w:rsidR="00ED7CF9" w:rsidRPr="00F4438E" w:rsidRDefault="00ED7CF9" w:rsidP="000940C7">
            <w:pPr>
              <w:spacing w:before="120" w:after="120" w:line="312" w:lineRule="auto"/>
              <w:jc w:val="center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</w:p>
        </w:tc>
        <w:tc>
          <w:tcPr>
            <w:tcW w:w="3175" w:type="dxa"/>
          </w:tcPr>
          <w:p w14:paraId="17C95BC1" w14:textId="77777777" w:rsidR="00ED7CF9" w:rsidRPr="00F4438E" w:rsidRDefault="00ED7CF9" w:rsidP="000940C7">
            <w:pPr>
              <w:spacing w:before="120" w:after="120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Nhận biết:</w:t>
            </w:r>
          </w:p>
          <w:p w14:paraId="22D1ACDE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Nhận biết được biểu thức số. </w:t>
            </w:r>
          </w:p>
          <w:p w14:paraId="60E18B80" w14:textId="77777777" w:rsidR="00ED7CF9" w:rsidRPr="00F4438E" w:rsidRDefault="00ED7CF9" w:rsidP="000940C7">
            <w:pPr>
              <w:suppressAutoHyphens/>
              <w:spacing w:before="120" w:after="120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được biểu thức đại số.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47B198F2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34567E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tcBorders>
              <w:bottom w:val="single" w:sz="4" w:space="0" w:color="auto"/>
            </w:tcBorders>
            <w:shd w:val="clear" w:color="auto" w:fill="E2EFD9"/>
            <w:vAlign w:val="center"/>
          </w:tcPr>
          <w:p w14:paraId="18AF3F7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162377F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tcBorders>
              <w:bottom w:val="single" w:sz="4" w:space="0" w:color="auto"/>
            </w:tcBorders>
            <w:shd w:val="clear" w:color="auto" w:fill="DEEAF6"/>
            <w:vAlign w:val="center"/>
          </w:tcPr>
          <w:p w14:paraId="69BD9871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98E07D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2CC"/>
          </w:tcPr>
          <w:p w14:paraId="48D0507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EDEDED"/>
            <w:vAlign w:val="center"/>
          </w:tcPr>
          <w:p w14:paraId="7AAC0BB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EDEDED"/>
          </w:tcPr>
          <w:p w14:paraId="354A82E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14:paraId="068D023C" w14:textId="77777777" w:rsidR="00ED7CF9" w:rsidRPr="00C86432" w:rsidRDefault="00ED7CF9" w:rsidP="000940C7">
            <w:pPr>
              <w:spacing w:before="60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A9B664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6AE96C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C86432" w14:paraId="782024C1" w14:textId="77777777" w:rsidTr="00ED7CF9">
        <w:trPr>
          <w:trHeight w:val="1591"/>
        </w:trPr>
        <w:tc>
          <w:tcPr>
            <w:tcW w:w="709" w:type="dxa"/>
            <w:vMerge/>
          </w:tcPr>
          <w:p w14:paraId="2CBE0662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107AF20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vAlign w:val="center"/>
          </w:tcPr>
          <w:p w14:paraId="6ED62A13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 w:val="restart"/>
          </w:tcPr>
          <w:p w14:paraId="291917B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cs="Times New Roman"/>
                <w:b/>
                <w:noProof/>
                <w:spacing w:val="-8"/>
                <w:sz w:val="26"/>
                <w:szCs w:val="26"/>
                <w:lang w:val="vi-VN"/>
              </w:rPr>
              <w:t>Vận dụng:</w:t>
            </w:r>
          </w:p>
          <w:p w14:paraId="42B05273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Tính được giá trị của một biểu thức đại số.</w:t>
            </w:r>
          </w:p>
        </w:tc>
        <w:tc>
          <w:tcPr>
            <w:tcW w:w="936" w:type="dxa"/>
            <w:vMerge w:val="restart"/>
            <w:shd w:val="clear" w:color="auto" w:fill="E2EFD9"/>
            <w:vAlign w:val="center"/>
          </w:tcPr>
          <w:p w14:paraId="0157E6B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86" w:type="dxa"/>
            <w:vMerge w:val="restart"/>
            <w:shd w:val="clear" w:color="auto" w:fill="E2EFD9"/>
            <w:vAlign w:val="center"/>
          </w:tcPr>
          <w:p w14:paraId="243B95C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1CEE118C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</w:tcPr>
          <w:p w14:paraId="7423D87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E3398E5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2CC"/>
          </w:tcPr>
          <w:p w14:paraId="3C7D54A5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2F251469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(1,0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3C8CCB2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EDEDED"/>
          </w:tcPr>
          <w:p w14:paraId="005A43D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1E8D96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CE8555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B32FF2" w14:paraId="0F6A64E8" w14:textId="77777777" w:rsidTr="00ED7CF9">
        <w:trPr>
          <w:trHeight w:val="1591"/>
        </w:trPr>
        <w:tc>
          <w:tcPr>
            <w:tcW w:w="709" w:type="dxa"/>
            <w:vMerge/>
          </w:tcPr>
          <w:p w14:paraId="042EFB1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14:paraId="1962BE3A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7C2884FE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175" w:type="dxa"/>
            <w:vMerge/>
          </w:tcPr>
          <w:p w14:paraId="398300E1" w14:textId="77777777" w:rsidR="00ED7CF9" w:rsidRPr="00B32FF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vMerge/>
            <w:shd w:val="clear" w:color="auto" w:fill="E2EFD9"/>
            <w:vAlign w:val="center"/>
          </w:tcPr>
          <w:p w14:paraId="71C59446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vMerge/>
            <w:shd w:val="clear" w:color="auto" w:fill="E2EFD9"/>
          </w:tcPr>
          <w:p w14:paraId="43D627C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09C1024B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C81BA8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27DDD198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03BE7410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3C7733FF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412A197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9CE0389" w14:textId="77777777" w:rsidR="00ED7CF9" w:rsidRPr="00B32FF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</w:tr>
      <w:tr w:rsidR="00ED7CF9" w:rsidRPr="003E2272" w14:paraId="08E02A9E" w14:textId="77777777" w:rsidTr="00ED7CF9">
        <w:trPr>
          <w:trHeight w:val="1591"/>
        </w:trPr>
        <w:tc>
          <w:tcPr>
            <w:tcW w:w="709" w:type="dxa"/>
            <w:vMerge w:val="restart"/>
          </w:tcPr>
          <w:p w14:paraId="7FADCC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276" w:type="dxa"/>
            <w:vMerge w:val="restart"/>
          </w:tcPr>
          <w:p w14:paraId="4985A21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Chủ đề 3:</w:t>
            </w:r>
          </w:p>
          <w:p w14:paraId="26A91179" w14:textId="77777777" w:rsidR="00ED7CF9" w:rsidRPr="00C86432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  <w:r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Tam giác</w:t>
            </w:r>
          </w:p>
        </w:tc>
        <w:tc>
          <w:tcPr>
            <w:tcW w:w="1701" w:type="dxa"/>
            <w:vMerge w:val="restart"/>
            <w:vAlign w:val="center"/>
          </w:tcPr>
          <w:p w14:paraId="3F1007C1" w14:textId="77777777" w:rsidR="00ED7CF9" w:rsidRPr="00F4438E" w:rsidRDefault="00ED7CF9" w:rsidP="000940C7">
            <w:pPr>
              <w:suppressAutoHyphens/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noProof/>
                <w:color w:val="000000"/>
                <w:sz w:val="26"/>
                <w:szCs w:val="26"/>
                <w:lang w:val="vi-VN"/>
              </w:rPr>
              <w:t>Tam giác.</w:t>
            </w:r>
            <w:r w:rsidRPr="003E2272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</w:t>
            </w:r>
            <w:r w:rsidRPr="003E2272"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  <w:t xml:space="preserve">Tam giác bằng nhau. Tam giác cân. </w:t>
            </w:r>
          </w:p>
        </w:tc>
        <w:tc>
          <w:tcPr>
            <w:tcW w:w="3175" w:type="dxa"/>
          </w:tcPr>
          <w:p w14:paraId="650644D0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Nhận biết:</w:t>
            </w:r>
          </w:p>
          <w:p w14:paraId="3C8AC744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Nhận biết được liên hệ về độ dài của ba cạnh trong một tam giác.</w:t>
            </w:r>
          </w:p>
          <w:p w14:paraId="330B3E2A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Nhận biết được khái niệm hai tam giác bằng nhau.</w:t>
            </w:r>
          </w:p>
          <w:p w14:paraId="515CAF84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4"/>
                <w:sz w:val="26"/>
                <w:szCs w:val="26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BC6481F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30C9C00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686" w:type="dxa"/>
            <w:shd w:val="clear" w:color="auto" w:fill="E2EFD9"/>
          </w:tcPr>
          <w:p w14:paraId="46D99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2484AF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115C22A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16A956C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7973C7EB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9C96D37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6F6FD81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30C1763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5%  </w:t>
            </w:r>
          </w:p>
        </w:tc>
      </w:tr>
      <w:tr w:rsidR="00ED7CF9" w:rsidRPr="003E2272" w14:paraId="5B1C6C3C" w14:textId="77777777" w:rsidTr="00ED7CF9">
        <w:trPr>
          <w:trHeight w:val="1591"/>
        </w:trPr>
        <w:tc>
          <w:tcPr>
            <w:tcW w:w="709" w:type="dxa"/>
            <w:vMerge/>
          </w:tcPr>
          <w:p w14:paraId="1ACFA9B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2BADD148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14:paraId="464272C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  <w:tcBorders>
              <w:bottom w:val="single" w:sz="4" w:space="0" w:color="auto"/>
            </w:tcBorders>
          </w:tcPr>
          <w:p w14:paraId="7E3AEC6C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Thông hiểu:</w:t>
            </w:r>
          </w:p>
          <w:p w14:paraId="358CF627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được định lí về tổng các góc trong một tam giác bằng 180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vertAlign w:val="superscript"/>
                <w:lang w:val="vi-VN"/>
              </w:rPr>
              <w:t>o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7BCC0703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quan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 hệ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>giữa cạnh và góc đối trong tam giác (đối diện với góc lớn hơn là cạnh lớn hơn và ngược lại).</w:t>
            </w:r>
          </w:p>
          <w:p w14:paraId="5D35FDEB" w14:textId="77777777" w:rsidR="00ED7CF9" w:rsidRPr="00F4438E" w:rsidRDefault="00ED7CF9" w:rsidP="000940C7">
            <w:pPr>
              <w:suppressAutoHyphens/>
              <w:autoSpaceDE w:val="0"/>
              <w:autoSpaceDN w:val="0"/>
              <w:adjustRightInd w:val="0"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Giải thích được các trường hợp bằng nhau của hai tam giác, của hai tam giác vuông.</w:t>
            </w:r>
          </w:p>
          <w:p w14:paraId="7B5AF5B6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– Mô tả được tam giác cân và giải thích được tính chất của tam giác cân (ví dụ: hai cạnh bên bằng nhau; hai góc đáy bằng nhau).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6B91430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EC60DF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4F13424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0E3884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3F09CE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0C04D31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4C5E33A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(0,</w:t>
            </w: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  <w:p w14:paraId="54EF97B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69CBE86" w14:textId="77777777" w:rsidR="00ED7CF9" w:rsidRPr="00D80D55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4645C92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E420E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7413B9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2C9884F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231175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05A8116" w14:textId="77777777" w:rsidR="00ED7CF9" w:rsidRPr="00C86432" w:rsidRDefault="00ED7CF9" w:rsidP="000940C7">
            <w:pPr>
              <w:spacing w:line="276" w:lineRule="auto"/>
              <w:jc w:val="center"/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</w:pP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1</w:t>
            </w:r>
          </w:p>
          <w:p w14:paraId="0B17004A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(1,5</w:t>
            </w:r>
            <w:r w:rsidRPr="00C86432">
              <w:rPr>
                <w:rFonts w:eastAsia="Calibri" w:cs="Times New Roman"/>
                <w:spacing w:val="-8"/>
                <w:sz w:val="24"/>
                <w:szCs w:val="24"/>
                <w:lang w:val="en-AU"/>
              </w:rPr>
              <w:t>)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0C72BB7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  <w:vAlign w:val="bottom"/>
          </w:tcPr>
          <w:p w14:paraId="288DF6D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9430AD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C04B70C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BEF1D6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F46D9C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6C1E2C9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5CA09F2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905708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00BBE0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42B1198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1F2C13D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  <w:p w14:paraId="7901602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4D315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0E445E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5A3AC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08CF2E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5A504EC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5EA367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1538C38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DB210BF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3394F24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789E1D8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 xml:space="preserve">20%  </w:t>
            </w:r>
          </w:p>
          <w:p w14:paraId="64DF8AD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DE99B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CBB2CF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3B8B76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060C2C2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</w:tr>
      <w:tr w:rsidR="00ED7CF9" w:rsidRPr="003E2272" w14:paraId="4D788208" w14:textId="77777777" w:rsidTr="00ED7CF9">
        <w:trPr>
          <w:trHeight w:val="1591"/>
        </w:trPr>
        <w:tc>
          <w:tcPr>
            <w:tcW w:w="709" w:type="dxa"/>
            <w:vMerge/>
          </w:tcPr>
          <w:p w14:paraId="6C7118E1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  <w:vMerge/>
          </w:tcPr>
          <w:p w14:paraId="49D45CD5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72FA4333" w14:textId="77777777" w:rsidR="00ED7CF9" w:rsidRPr="003E2272" w:rsidRDefault="00ED7CF9" w:rsidP="000940C7">
            <w:pPr>
              <w:spacing w:before="120" w:after="120" w:line="312" w:lineRule="auto"/>
              <w:rPr>
                <w:rFonts w:eastAsia="Times New Roman" w:cs="Times New Roman"/>
                <w:b/>
                <w:i/>
                <w:noProof/>
                <w:color w:val="000000"/>
                <w:sz w:val="26"/>
                <w:szCs w:val="26"/>
                <w:lang w:val="vi-VN"/>
              </w:rPr>
            </w:pPr>
            <w:r w:rsidRPr="003E2272">
              <w:rPr>
                <w:rFonts w:eastAsia="Times New Roman" w:cs="Times New Roman"/>
                <w:b/>
                <w:bCs/>
                <w:i/>
                <w:noProof/>
                <w:color w:val="000000"/>
                <w:sz w:val="26"/>
                <w:szCs w:val="26"/>
                <w:lang w:val="vi-VN"/>
              </w:rPr>
              <w:t>Giải bài toán có nội dung hình học và vận dụng giải quyết vấn đề thực tiễn liên quan đến hình học</w:t>
            </w:r>
          </w:p>
        </w:tc>
        <w:tc>
          <w:tcPr>
            <w:tcW w:w="3175" w:type="dxa"/>
          </w:tcPr>
          <w:p w14:paraId="05F0E3FB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>Vận dụng:</w:t>
            </w:r>
          </w:p>
          <w:p w14:paraId="0566CFC1" w14:textId="77777777" w:rsidR="00ED7CF9" w:rsidRPr="00F4438E" w:rsidRDefault="00ED7CF9" w:rsidP="000940C7">
            <w:pPr>
              <w:suppressAutoHyphens/>
              <w:spacing w:before="120" w:after="120" w:line="312" w:lineRule="auto"/>
              <w:jc w:val="both"/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Diễn đạt được lập luận và chứng minh hình học trong những trường hợp đơn giản </w:t>
            </w:r>
            <w:r w:rsidRPr="00F4438E">
              <w:rPr>
                <w:rFonts w:eastAsia="Calibri" w:cs="Times New Roman"/>
                <w:bCs/>
                <w:noProof/>
                <w:color w:val="000000"/>
                <w:sz w:val="26"/>
                <w:szCs w:val="26"/>
                <w:lang w:val="vi-VN"/>
              </w:rPr>
              <w:t>(ví dụ: lập luận và chứng minh được các đoạn thẳng bằng nhau, các góc bằng nhau từ các điều kiện ban đầu liên quan đến tam giác,...)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.</w:t>
            </w:r>
          </w:p>
          <w:p w14:paraId="543CE219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lastRenderedPageBreak/>
              <w:t xml:space="preserve">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(đơn giản,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3EBAC1C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1DA7FFC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510D2A85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0125225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08A3E86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318A8F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416EB61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50A9B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278AA50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CEA0F4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A58FBCD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2C0954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12AB7C8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5ED92CF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C9F4AF0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0AAF82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2FBCB4B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0B2D783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8027934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41F0BE1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417" w:type="dxa"/>
          </w:tcPr>
          <w:p w14:paraId="4BB8995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DFB8E3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8C48FD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7D0025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31F71435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6ECF031A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16B6F216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0371F05E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  <w:p w14:paraId="451EE65E" w14:textId="77777777" w:rsidR="00ED7CF9" w:rsidRPr="001923B8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3E2272" w14:paraId="3B939DB3" w14:textId="77777777" w:rsidTr="00ED7CF9">
        <w:trPr>
          <w:trHeight w:val="1591"/>
        </w:trPr>
        <w:tc>
          <w:tcPr>
            <w:tcW w:w="709" w:type="dxa"/>
          </w:tcPr>
          <w:p w14:paraId="23215D9A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76" w:type="dxa"/>
          </w:tcPr>
          <w:p w14:paraId="5210979D" w14:textId="77777777" w:rsidR="00ED7CF9" w:rsidRDefault="00ED7CF9" w:rsidP="000940C7">
            <w:pPr>
              <w:spacing w:before="60"/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</w:pPr>
          </w:p>
        </w:tc>
        <w:tc>
          <w:tcPr>
            <w:tcW w:w="1701" w:type="dxa"/>
            <w:vMerge/>
          </w:tcPr>
          <w:p w14:paraId="6195447D" w14:textId="77777777" w:rsidR="00ED7CF9" w:rsidRPr="003E2272" w:rsidRDefault="00ED7CF9" w:rsidP="000940C7">
            <w:pPr>
              <w:spacing w:before="60"/>
              <w:rPr>
                <w:rFonts w:eastAsia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3175" w:type="dxa"/>
          </w:tcPr>
          <w:p w14:paraId="3671632D" w14:textId="77777777" w:rsidR="00ED7CF9" w:rsidRPr="00F4438E" w:rsidRDefault="00ED7CF9" w:rsidP="000940C7">
            <w:pPr>
              <w:spacing w:before="120" w:after="120" w:line="312" w:lineRule="auto"/>
              <w:jc w:val="both"/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</w:pPr>
            <w:r w:rsidRPr="00F4438E">
              <w:rPr>
                <w:rFonts w:eastAsia="Calibri" w:cs="Times New Roman"/>
                <w:b/>
                <w:i/>
                <w:noProof/>
                <w:spacing w:val="-8"/>
                <w:sz w:val="26"/>
                <w:szCs w:val="26"/>
                <w:lang w:val="vi-VN"/>
              </w:rPr>
              <w:t xml:space="preserve">Vận dụng cao: </w:t>
            </w:r>
          </w:p>
          <w:p w14:paraId="36F6812D" w14:textId="77777777" w:rsidR="00ED7CF9" w:rsidRPr="003E2272" w:rsidRDefault="00ED7CF9" w:rsidP="000940C7">
            <w:pPr>
              <w:spacing w:before="60"/>
              <w:jc w:val="both"/>
              <w:rPr>
                <w:rFonts w:eastAsia="Calibri" w:cs="Times New Roman"/>
                <w:b/>
                <w:bCs/>
                <w:color w:val="000000"/>
                <w:spacing w:val="-4"/>
                <w:sz w:val="24"/>
                <w:szCs w:val="24"/>
                <w:lang w:val="vi-VN"/>
              </w:rPr>
            </w:pP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 xml:space="preserve">– Giải quyết được một số vấn đề thực tiễn </w:t>
            </w:r>
            <w:r w:rsidRPr="00F4438E">
              <w:rPr>
                <w:rFonts w:eastAsia="Times New Roman" w:cs="Times New Roman"/>
                <w:b/>
                <w:bCs/>
                <w:i/>
                <w:iCs/>
                <w:noProof/>
                <w:color w:val="000000"/>
                <w:sz w:val="26"/>
                <w:szCs w:val="26"/>
                <w:lang w:val="vi-VN"/>
              </w:rPr>
              <w:t xml:space="preserve">(phức hợp, không quen thuộc) </w:t>
            </w:r>
            <w:r w:rsidRPr="00F4438E">
              <w:rPr>
                <w:rFonts w:eastAsia="Times New Roman" w:cs="Times New Roman"/>
                <w:noProof/>
                <w:color w:val="000000"/>
                <w:sz w:val="26"/>
                <w:szCs w:val="26"/>
                <w:lang w:val="vi-VN"/>
              </w:rPr>
              <w:t>liên quan đến ứng dụng của hình học như: đo, vẽ, tạo dựng các hình đã học.</w:t>
            </w:r>
          </w:p>
        </w:tc>
        <w:tc>
          <w:tcPr>
            <w:tcW w:w="936" w:type="dxa"/>
            <w:shd w:val="clear" w:color="auto" w:fill="E2EFD9"/>
            <w:vAlign w:val="center"/>
          </w:tcPr>
          <w:p w14:paraId="29C66E4C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86" w:type="dxa"/>
            <w:shd w:val="clear" w:color="auto" w:fill="E2EFD9"/>
          </w:tcPr>
          <w:p w14:paraId="3C82100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949" w:type="dxa"/>
            <w:shd w:val="clear" w:color="auto" w:fill="DEEAF6"/>
            <w:vAlign w:val="center"/>
          </w:tcPr>
          <w:p w14:paraId="64ACF19E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674" w:type="dxa"/>
            <w:shd w:val="clear" w:color="auto" w:fill="DEEAF6"/>
            <w:vAlign w:val="center"/>
          </w:tcPr>
          <w:p w14:paraId="59BE32E2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093" w:type="dxa"/>
            <w:shd w:val="clear" w:color="auto" w:fill="FFF2CC"/>
            <w:vAlign w:val="center"/>
          </w:tcPr>
          <w:p w14:paraId="70B2E4E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0" w:type="dxa"/>
            <w:shd w:val="clear" w:color="auto" w:fill="FFF2CC"/>
          </w:tcPr>
          <w:p w14:paraId="1A05A70D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1134" w:type="dxa"/>
            <w:shd w:val="clear" w:color="auto" w:fill="EDEDED"/>
            <w:vAlign w:val="center"/>
          </w:tcPr>
          <w:p w14:paraId="65E66BDF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</w:p>
        </w:tc>
        <w:tc>
          <w:tcPr>
            <w:tcW w:w="851" w:type="dxa"/>
            <w:shd w:val="clear" w:color="auto" w:fill="EDEDED"/>
          </w:tcPr>
          <w:p w14:paraId="53C53529" w14:textId="77777777" w:rsidR="00ED7CF9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 (1,0)</w:t>
            </w:r>
          </w:p>
          <w:p w14:paraId="4F9535FE" w14:textId="77777777" w:rsidR="00ED7CF9" w:rsidRPr="000422A1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</w:rPr>
            </w:pPr>
          </w:p>
        </w:tc>
        <w:tc>
          <w:tcPr>
            <w:tcW w:w="1417" w:type="dxa"/>
          </w:tcPr>
          <w:p w14:paraId="2A4531C8" w14:textId="77777777" w:rsidR="00ED7CF9" w:rsidRPr="003E2272" w:rsidRDefault="00ED7CF9" w:rsidP="000940C7">
            <w:pPr>
              <w:spacing w:before="60"/>
              <w:jc w:val="center"/>
              <w:rPr>
                <w:rFonts w:eastAsia="Calibri" w:cs="Times New Roman"/>
                <w:spacing w:val="-4"/>
                <w:sz w:val="24"/>
                <w:szCs w:val="24"/>
                <w:lang w:val="vi-VN"/>
              </w:rPr>
            </w:pPr>
            <w:r>
              <w:rPr>
                <w:rFonts w:eastAsia="Calibri" w:cs="Times New Roman"/>
                <w:spacing w:val="-4"/>
                <w:sz w:val="24"/>
                <w:szCs w:val="24"/>
              </w:rPr>
              <w:t>10%</w:t>
            </w:r>
          </w:p>
        </w:tc>
      </w:tr>
      <w:tr w:rsidR="00ED7CF9" w:rsidRPr="00C86432" w14:paraId="24A76125" w14:textId="77777777" w:rsidTr="00ED7CF9">
        <w:trPr>
          <w:trHeight w:val="151"/>
        </w:trPr>
        <w:tc>
          <w:tcPr>
            <w:tcW w:w="3686" w:type="dxa"/>
            <w:gridSpan w:val="3"/>
          </w:tcPr>
          <w:p w14:paraId="29159FE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Tổng</w:t>
            </w:r>
            <w:proofErr w:type="spellEnd"/>
          </w:p>
        </w:tc>
        <w:tc>
          <w:tcPr>
            <w:tcW w:w="3175" w:type="dxa"/>
          </w:tcPr>
          <w:p w14:paraId="3DA49D37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936" w:type="dxa"/>
            <w:shd w:val="clear" w:color="auto" w:fill="E2EFD9"/>
            <w:vAlign w:val="center"/>
          </w:tcPr>
          <w:p w14:paraId="6F300C3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686" w:type="dxa"/>
            <w:shd w:val="clear" w:color="auto" w:fill="E2EFD9"/>
          </w:tcPr>
          <w:p w14:paraId="21516D8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949" w:type="dxa"/>
            <w:shd w:val="clear" w:color="auto" w:fill="DEEAF6"/>
            <w:vAlign w:val="center"/>
          </w:tcPr>
          <w:p w14:paraId="4BE39BE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674" w:type="dxa"/>
            <w:shd w:val="clear" w:color="auto" w:fill="DEEAF6"/>
          </w:tcPr>
          <w:p w14:paraId="75E0A7C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1093" w:type="dxa"/>
            <w:shd w:val="clear" w:color="auto" w:fill="FFF2CC"/>
            <w:vAlign w:val="center"/>
          </w:tcPr>
          <w:p w14:paraId="4692A78F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0" w:type="dxa"/>
            <w:shd w:val="clear" w:color="auto" w:fill="FFF2CC"/>
          </w:tcPr>
          <w:p w14:paraId="0333006E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EDEDED"/>
            <w:vAlign w:val="center"/>
          </w:tcPr>
          <w:p w14:paraId="56A4298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0</w:t>
            </w:r>
          </w:p>
        </w:tc>
        <w:tc>
          <w:tcPr>
            <w:tcW w:w="851" w:type="dxa"/>
            <w:shd w:val="clear" w:color="auto" w:fill="EDEDED"/>
          </w:tcPr>
          <w:p w14:paraId="72D99793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14:paraId="2098E574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spacing w:val="-8"/>
                <w:sz w:val="24"/>
                <w:szCs w:val="24"/>
              </w:rPr>
              <w:t>14</w:t>
            </w:r>
          </w:p>
        </w:tc>
      </w:tr>
      <w:tr w:rsidR="00ED7CF9" w:rsidRPr="00C86432" w14:paraId="7E37425F" w14:textId="77777777" w:rsidTr="00ED7CF9">
        <w:trPr>
          <w:trHeight w:val="151"/>
        </w:trPr>
        <w:tc>
          <w:tcPr>
            <w:tcW w:w="3686" w:type="dxa"/>
            <w:gridSpan w:val="3"/>
          </w:tcPr>
          <w:p w14:paraId="44467F4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%</w:t>
            </w:r>
          </w:p>
        </w:tc>
        <w:tc>
          <w:tcPr>
            <w:tcW w:w="3175" w:type="dxa"/>
          </w:tcPr>
          <w:p w14:paraId="5F8E1239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622" w:type="dxa"/>
            <w:gridSpan w:val="2"/>
            <w:shd w:val="clear" w:color="auto" w:fill="E2EFD9"/>
            <w:vAlign w:val="center"/>
          </w:tcPr>
          <w:p w14:paraId="685DF477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20%</w:t>
            </w:r>
          </w:p>
        </w:tc>
        <w:tc>
          <w:tcPr>
            <w:tcW w:w="1623" w:type="dxa"/>
            <w:gridSpan w:val="2"/>
            <w:shd w:val="clear" w:color="auto" w:fill="DEEAF6"/>
            <w:vAlign w:val="center"/>
          </w:tcPr>
          <w:p w14:paraId="77785850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45%</w:t>
            </w:r>
          </w:p>
        </w:tc>
        <w:tc>
          <w:tcPr>
            <w:tcW w:w="1943" w:type="dxa"/>
            <w:gridSpan w:val="2"/>
            <w:shd w:val="clear" w:color="auto" w:fill="FFF2CC"/>
            <w:vAlign w:val="center"/>
          </w:tcPr>
          <w:p w14:paraId="5EE0E228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25%</w:t>
            </w:r>
          </w:p>
        </w:tc>
        <w:tc>
          <w:tcPr>
            <w:tcW w:w="1985" w:type="dxa"/>
            <w:gridSpan w:val="2"/>
            <w:shd w:val="clear" w:color="auto" w:fill="EDEDED"/>
            <w:vAlign w:val="center"/>
          </w:tcPr>
          <w:p w14:paraId="7451045A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10%</w:t>
            </w:r>
          </w:p>
        </w:tc>
        <w:tc>
          <w:tcPr>
            <w:tcW w:w="1417" w:type="dxa"/>
          </w:tcPr>
          <w:p w14:paraId="6320D925" w14:textId="77777777" w:rsidR="00ED7CF9" w:rsidRPr="00C86432" w:rsidRDefault="00ED7CF9" w:rsidP="000940C7">
            <w:pPr>
              <w:spacing w:before="60" w:line="360" w:lineRule="auto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  <w:tr w:rsidR="00ED7CF9" w:rsidRPr="00C86432" w14:paraId="7FFCF8B1" w14:textId="77777777" w:rsidTr="00ED7CF9">
        <w:trPr>
          <w:trHeight w:val="151"/>
        </w:trPr>
        <w:tc>
          <w:tcPr>
            <w:tcW w:w="3686" w:type="dxa"/>
            <w:gridSpan w:val="3"/>
          </w:tcPr>
          <w:p w14:paraId="28FA1FD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</w:pP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Tỉ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lệ</w:t>
            </w:r>
            <w:proofErr w:type="spellEnd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 xml:space="preserve"> </w:t>
            </w:r>
            <w:proofErr w:type="spellStart"/>
            <w:r w:rsidRPr="00C86432">
              <w:rPr>
                <w:rFonts w:eastAsia="Calibri" w:cs="Times New Roman"/>
                <w:b/>
                <w:bCs/>
                <w:spacing w:val="-8"/>
                <w:sz w:val="24"/>
                <w:szCs w:val="24"/>
                <w:lang w:val="en-AU"/>
              </w:rPr>
              <w:t>chung</w:t>
            </w:r>
            <w:proofErr w:type="spellEnd"/>
          </w:p>
        </w:tc>
        <w:tc>
          <w:tcPr>
            <w:tcW w:w="3175" w:type="dxa"/>
            <w:shd w:val="clear" w:color="auto" w:fill="EDEDED"/>
          </w:tcPr>
          <w:p w14:paraId="1EA523C0" w14:textId="77777777" w:rsidR="00ED7CF9" w:rsidRPr="00C86432" w:rsidRDefault="00ED7CF9" w:rsidP="000940C7">
            <w:pPr>
              <w:spacing w:before="60"/>
              <w:jc w:val="both"/>
              <w:rPr>
                <w:rFonts w:eastAsia="Calibri"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245" w:type="dxa"/>
            <w:gridSpan w:val="4"/>
            <w:shd w:val="clear" w:color="auto" w:fill="EDEDED"/>
            <w:vAlign w:val="center"/>
          </w:tcPr>
          <w:p w14:paraId="405934A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65%</w:t>
            </w:r>
          </w:p>
        </w:tc>
        <w:tc>
          <w:tcPr>
            <w:tcW w:w="3928" w:type="dxa"/>
            <w:gridSpan w:val="4"/>
            <w:shd w:val="clear" w:color="auto" w:fill="EDEDED"/>
            <w:vAlign w:val="center"/>
          </w:tcPr>
          <w:p w14:paraId="39458B1D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35%</w:t>
            </w:r>
          </w:p>
        </w:tc>
        <w:tc>
          <w:tcPr>
            <w:tcW w:w="1417" w:type="dxa"/>
            <w:shd w:val="clear" w:color="auto" w:fill="EDEDED"/>
          </w:tcPr>
          <w:p w14:paraId="3BF6A3F6" w14:textId="77777777" w:rsidR="00ED7CF9" w:rsidRPr="00C86432" w:rsidRDefault="00ED7CF9" w:rsidP="000940C7">
            <w:pPr>
              <w:spacing w:before="60"/>
              <w:jc w:val="center"/>
              <w:rPr>
                <w:rFonts w:eastAsia="Calibri" w:cs="Times New Roman"/>
                <w:b/>
                <w:spacing w:val="-8"/>
                <w:sz w:val="24"/>
                <w:szCs w:val="24"/>
              </w:rPr>
            </w:pPr>
            <w:r>
              <w:rPr>
                <w:rFonts w:eastAsia="Calibri" w:cs="Times New Roman"/>
                <w:b/>
                <w:spacing w:val="-8"/>
                <w:sz w:val="24"/>
                <w:szCs w:val="24"/>
              </w:rPr>
              <w:t>100%</w:t>
            </w:r>
          </w:p>
        </w:tc>
      </w:tr>
    </w:tbl>
    <w:p w14:paraId="26DDA6D2" w14:textId="77777777" w:rsidR="00ED7CF9" w:rsidRDefault="00ED7CF9" w:rsidP="00ED7CF9">
      <w:pPr>
        <w:spacing w:after="240" w:line="240" w:lineRule="auto"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14:paraId="20559E55" w14:textId="0BDBFAD2" w:rsidR="00FA4F3B" w:rsidRDefault="00FA4F3B">
      <w:pPr>
        <w:rPr>
          <w:rFonts w:ascii="Times New Roman" w:eastAsia="Calibri" w:hAnsi="Times New Roman" w:cs="Times New Roman"/>
          <w:b/>
          <w:sz w:val="26"/>
          <w:szCs w:val="26"/>
        </w:rPr>
      </w:pPr>
    </w:p>
    <w:sectPr w:rsidR="00FA4F3B" w:rsidSect="00D14CAB">
      <w:pgSz w:w="16840" w:h="11907" w:orient="landscape" w:code="9"/>
      <w:pgMar w:top="1021" w:right="567" w:bottom="1021" w:left="851" w:header="680" w:footer="68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07746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09502D"/>
    <w:multiLevelType w:val="hybridMultilevel"/>
    <w:tmpl w:val="E1D2F2B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C3A05"/>
    <w:multiLevelType w:val="hybridMultilevel"/>
    <w:tmpl w:val="7C8EBD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45198686">
    <w:abstractNumId w:val="2"/>
  </w:num>
  <w:num w:numId="2" w16cid:durableId="1463960030">
    <w:abstractNumId w:val="0"/>
  </w:num>
  <w:num w:numId="3" w16cid:durableId="643699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1575"/>
    <w:rsid w:val="00015585"/>
    <w:rsid w:val="000422A1"/>
    <w:rsid w:val="000940C7"/>
    <w:rsid w:val="00130301"/>
    <w:rsid w:val="00166116"/>
    <w:rsid w:val="00172FFA"/>
    <w:rsid w:val="001923B8"/>
    <w:rsid w:val="001D37B4"/>
    <w:rsid w:val="001E7668"/>
    <w:rsid w:val="001F277A"/>
    <w:rsid w:val="00212BAD"/>
    <w:rsid w:val="0025329C"/>
    <w:rsid w:val="002549BD"/>
    <w:rsid w:val="002C2A56"/>
    <w:rsid w:val="002E5FF7"/>
    <w:rsid w:val="002F0EDC"/>
    <w:rsid w:val="00300EF2"/>
    <w:rsid w:val="00301CD7"/>
    <w:rsid w:val="00342B67"/>
    <w:rsid w:val="003727A8"/>
    <w:rsid w:val="003A05F4"/>
    <w:rsid w:val="003D1575"/>
    <w:rsid w:val="003E2272"/>
    <w:rsid w:val="00427FCC"/>
    <w:rsid w:val="00434275"/>
    <w:rsid w:val="004411E0"/>
    <w:rsid w:val="00441A3A"/>
    <w:rsid w:val="00480A35"/>
    <w:rsid w:val="004916C9"/>
    <w:rsid w:val="004A26BA"/>
    <w:rsid w:val="004D11CE"/>
    <w:rsid w:val="004D3C40"/>
    <w:rsid w:val="004F5858"/>
    <w:rsid w:val="004F6409"/>
    <w:rsid w:val="005250D7"/>
    <w:rsid w:val="005352D3"/>
    <w:rsid w:val="00570F27"/>
    <w:rsid w:val="005B04D2"/>
    <w:rsid w:val="005D18BC"/>
    <w:rsid w:val="005D3C82"/>
    <w:rsid w:val="00666ACB"/>
    <w:rsid w:val="006A386C"/>
    <w:rsid w:val="006D2D64"/>
    <w:rsid w:val="007075C2"/>
    <w:rsid w:val="00774542"/>
    <w:rsid w:val="0078630E"/>
    <w:rsid w:val="007B443F"/>
    <w:rsid w:val="007C116E"/>
    <w:rsid w:val="007C5CE3"/>
    <w:rsid w:val="00820AC6"/>
    <w:rsid w:val="00826F42"/>
    <w:rsid w:val="008A54B2"/>
    <w:rsid w:val="008B15E6"/>
    <w:rsid w:val="008C0C24"/>
    <w:rsid w:val="008E501A"/>
    <w:rsid w:val="0097411A"/>
    <w:rsid w:val="009C486A"/>
    <w:rsid w:val="009E695C"/>
    <w:rsid w:val="00A816E0"/>
    <w:rsid w:val="00B32FF2"/>
    <w:rsid w:val="00B33C5A"/>
    <w:rsid w:val="00B46465"/>
    <w:rsid w:val="00B7038C"/>
    <w:rsid w:val="00B933E0"/>
    <w:rsid w:val="00B9366E"/>
    <w:rsid w:val="00BB4F08"/>
    <w:rsid w:val="00BD7736"/>
    <w:rsid w:val="00C340EE"/>
    <w:rsid w:val="00C35DFA"/>
    <w:rsid w:val="00C5783B"/>
    <w:rsid w:val="00C86432"/>
    <w:rsid w:val="00CD4591"/>
    <w:rsid w:val="00CE1D72"/>
    <w:rsid w:val="00D06E38"/>
    <w:rsid w:val="00D147AD"/>
    <w:rsid w:val="00D14CAB"/>
    <w:rsid w:val="00D71ED0"/>
    <w:rsid w:val="00D80D55"/>
    <w:rsid w:val="00DD754D"/>
    <w:rsid w:val="00DF31CB"/>
    <w:rsid w:val="00DF3C93"/>
    <w:rsid w:val="00E03A03"/>
    <w:rsid w:val="00E0423B"/>
    <w:rsid w:val="00E6310F"/>
    <w:rsid w:val="00E9206C"/>
    <w:rsid w:val="00EB74F4"/>
    <w:rsid w:val="00ED5F1B"/>
    <w:rsid w:val="00ED7CF9"/>
    <w:rsid w:val="00F005D9"/>
    <w:rsid w:val="00F03CF8"/>
    <w:rsid w:val="00F4698B"/>
    <w:rsid w:val="00FA4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4CFF1"/>
  <w15:docId w15:val="{94CD9D7E-ED7C-44E6-92DD-7CCE8EB4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4591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A26B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50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50D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F0E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vi-VN" w:eastAsia="vi-VN"/>
    </w:rPr>
  </w:style>
  <w:style w:type="character" w:styleId="Strong">
    <w:name w:val="Strong"/>
    <w:basedOn w:val="DefaultParagraphFont"/>
    <w:uiPriority w:val="22"/>
    <w:qFormat/>
    <w:rsid w:val="00342B6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3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ECBB3-92D8-4860-BAFF-ADDFC9ACF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590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This MC</dc:creator>
  <cp:lastModifiedBy>Nguyen Duc Tai</cp:lastModifiedBy>
  <cp:revision>2</cp:revision>
  <dcterms:created xsi:type="dcterms:W3CDTF">2022-06-06T13:23:00Z</dcterms:created>
  <dcterms:modified xsi:type="dcterms:W3CDTF">2022-06-06T13:23:00Z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