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9" w:rsidRPr="00F96DC9" w:rsidRDefault="00F96DC9" w:rsidP="00F96DC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</w:pPr>
      <w:r w:rsidRPr="00F96DC9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u w:val="single"/>
          <w:lang w:val="vi-VN" w:eastAsia="zh-CN"/>
        </w:rPr>
        <w:t>BÀI 4</w:t>
      </w:r>
      <w:r w:rsidRPr="00F96DC9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  <w:t>. NÉT ĐẸP VĂN HÓA VÀ CẢNH QUAN</w:t>
      </w:r>
    </w:p>
    <w:p w:rsidR="00F96DC9" w:rsidRPr="00F96DC9" w:rsidRDefault="00F96DC9" w:rsidP="00F96DC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</w:pPr>
      <w:r w:rsidRPr="00F96DC9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  <w:t>( VĂN BẢN THÔNG TIN)</w:t>
      </w:r>
    </w:p>
    <w:p w:rsidR="00F96DC9" w:rsidRDefault="00F96DC9" w:rsidP="00F96DC9">
      <w:pPr>
        <w:spacing w:beforeLines="20" w:before="48" w:afterLines="20" w:after="48"/>
        <w:ind w:right="-1"/>
        <w:jc w:val="both"/>
        <w:rPr>
          <w:rFonts w:ascii="Times New Roman" w:eastAsia="Calibri" w:hAnsi="Times New Roman" w:cs="Times New Roman"/>
          <w:b/>
          <w:color w:val="FF0000"/>
          <w:kern w:val="2"/>
          <w:sz w:val="26"/>
          <w:szCs w:val="26"/>
          <w:u w:val="single"/>
          <w14:ligatures w14:val="standardContextual"/>
        </w:rPr>
      </w:pPr>
    </w:p>
    <w:p w:rsidR="00F96DC9" w:rsidRPr="00F96DC9" w:rsidRDefault="00F96DC9" w:rsidP="00F96DC9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TIẾT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……</w:t>
      </w:r>
      <w:r w:rsidRPr="00F96D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  NÓI VÀ NGHE</w:t>
      </w:r>
    </w:p>
    <w:p w:rsidR="00F96DC9" w:rsidRPr="00F96DC9" w:rsidRDefault="00F96DC9" w:rsidP="00F96DC9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TRÌNH BÀY KẾT QUẢ NGHIÊN CỨU VỀ MỘT VẤN ĐỀ TỰ NHIÊN HOẶC XÃ HỘI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I. MỤC TIÊU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1. Về năng lực đặc thù</w:t>
      </w:r>
    </w:p>
    <w:p w:rsidR="00F96DC9" w:rsidRPr="00F96DC9" w:rsidRDefault="00F96DC9" w:rsidP="00F96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96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 sinh ghi nhớ</w:t>
      </w:r>
      <w:r w:rsidRPr="00F9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các bước trình bày bài báo cáo nghiên cứu</w:t>
      </w:r>
    </w:p>
    <w:p w:rsidR="00F96DC9" w:rsidRPr="00F96DC9" w:rsidRDefault="00F96DC9" w:rsidP="00F96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96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Học sinh tự tin trình bày </w:t>
      </w:r>
      <w:r w:rsidRPr="00F96D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báo cáo nghiên cứu 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2. Về năng lực chung: Học sinh phát triển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 xml:space="preserve">: Tư duy phản biện, năng lực hợp tác, giải quyết vấn </w:t>
      </w:r>
      <w:proofErr w:type="gramStart"/>
      <w:r w:rsidRPr="00F96DC9">
        <w:rPr>
          <w:rFonts w:ascii="Times New Roman" w:eastAsia="Times New Roman" w:hAnsi="Times New Roman" w:cs="Times New Roman"/>
          <w:sz w:val="24"/>
          <w:szCs w:val="24"/>
        </w:rPr>
        <w:t>đề,….</w:t>
      </w:r>
      <w:proofErr w:type="gramEnd"/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3. Về phẩm chất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 xml:space="preserve">: Phẩm chất và tinh thần về công dân số, công dân toàn cầu được rút ra từ tác phẩm.  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II. THIẾT BỊ DẠY HỌC, HỌC LIỆU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1. Học liệu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>: Sách giáo khoa, sách giáo viên, phiếu học tập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2. Thiết bị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 xml:space="preserve">: Máy chiếu, bảng, dụng cụ khác nếu cần. 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III. TIẾN TRÌNH DẠY HỌC 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5693"/>
      </w:tblGrid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  <w:t>TỔ CHỨC THỰC HIỆN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  <w:t>SẢN PHẨM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1. HOẠT ĐỘNG 1: KHỞI ĐỘNG – TẠO TÂM THẾ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 Mục tiêu hoạt động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: Tạo tâm thế thoải mái và gợi dẫn cho học sinh về nội dung bài học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Nội dung thực hiện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96DC9" w:rsidRPr="00F96DC9" w:rsidRDefault="00F96DC9" w:rsidP="00F96D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giới thiệu bài học </w:t>
            </w:r>
          </w:p>
          <w:p w:rsidR="00F96DC9" w:rsidRPr="00F96DC9" w:rsidRDefault="00F96DC9" w:rsidP="00F96D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kiểm tra lại bài viết và chuẩn bị để thực hành báo cáo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giới thiệu và dẫn dắt 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suy nghĩ và trả lời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Học sinh chia sẻ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</w:t>
            </w:r>
            <w:bookmarkStart w:id="0" w:name="_GoBack"/>
            <w:bookmarkEnd w:id="0"/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c 4. Kết luận, nhận định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dẫn dắt vào bài học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Yêu cầu chuẩn bị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Dùng phần mềm MS. Powerpoint để thiết kế bài báo cáo.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Dùng sơ đồ để tóm tắt nội dung báo cáo.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Kết hợp sử dụng phương tiện ngôn ngữ và các phương tiện phi ngôn ngữ như hình ảnh, âm thanh, video, thí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nghiệm (nếu có).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Quay clip bài báo cáo và gửi bài lên Google Classroom/Google Drive của lớp.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Các nhóm khác nghe, xem và gửi góp ý cho bài báo cáo của nhóm bạn dựa trên bảng kiểm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2. HOẠT ĐỘNG 2: HÌNH THÀNH KIẾN THỨC MỚI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 Mục tiêu hoạt động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96DC9" w:rsidRPr="00F96DC9" w:rsidRDefault="00F96DC9" w:rsidP="00F96D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Học sinh ghi nhớ</w:t>
            </w: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được các bước trình bày bài báo cáo nghiên cứu</w:t>
            </w:r>
          </w:p>
          <w:p w:rsidR="00F96DC9" w:rsidRPr="00F96DC9" w:rsidRDefault="00F96DC9" w:rsidP="00F96D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Học sinh tự tin trình bày </w:t>
            </w:r>
            <w:r w:rsidRPr="00F96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báo cáo nghiên cứu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Nội dung thực hiện: </w:t>
            </w:r>
          </w:p>
          <w:p w:rsidR="00F96DC9" w:rsidRPr="00F96DC9" w:rsidRDefault="00F96DC9" w:rsidP="00F96D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sinh đọc thật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thao tác chuẩn bị nói và nghe</w:t>
            </w:r>
          </w:p>
          <w:p w:rsidR="00F96DC9" w:rsidRPr="00F96DC9" w:rsidRDefault="00F96DC9" w:rsidP="00F96D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sinh chuẩn bị bài nói dưới dạng dàn ý và chia sẻ bài nói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yêu cầu HS đọc thật kĩ phần nội dung chuẩn bị  </w:t>
            </w:r>
          </w:p>
          <w:p w:rsidR="00F96DC9" w:rsidRPr="00F96DC9" w:rsidRDefault="00F96DC9" w:rsidP="00F96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 đọc và ghi chép lại các thông tin và suy nghĩ của bản thân</w:t>
            </w:r>
          </w:p>
          <w:p w:rsidR="00F96DC9" w:rsidRPr="00F96DC9" w:rsidRDefault="00F96DC9" w:rsidP="00F96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thực hành lập dàn ý và nói </w:t>
            </w:r>
          </w:p>
          <w:p w:rsidR="00F96DC9" w:rsidRPr="00F96DC9" w:rsidRDefault="00F96DC9" w:rsidP="00F96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bài</w:t>
            </w: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Trình bày báo cáo kết quả nghiên cứu về một vấn đề tự nhiên và xã hội (Dựa trên kết quả bài viết)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thực hành nói theo chủ đề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chia sẻ bài làm và báo cáo phần bài làm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4. Kết luận, nhận định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chốt những kiến thức 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1: Chuẩn bị nói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định đề tài, mục đích nói, đối tượng người nghe, không gian và thời gian nói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: Đề tài của bài nói đã được bạn chuẩn bị ở phần Viết. Bạn cần tự trả lời những câu hỏi sau khi chuẩn bị bài báo cáo: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Mục đích của bài nói là gì?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Bạn có bao nhiêu phút để trình bày kết quả nghiên cứu và trả lời câu hỏi của người nghe 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gramEnd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quy định của ban tổ chức?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nghe của bạn là những ai? Họ mong muốn được nghe điều gì từ bài báo cáo?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Nơi báo cáo có những phương tiện, thiết bị gì mà bạn có thể sử dụng khi báo cáo?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Tìm ý và lập dàn ý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Bạn hãy chuyển nội dung của bài viết thành dàn ý cho bài nói, bằng cách: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Lựa chọn những nội dung quan trọng nhất để trình bày: tên đề tài, câu hỏi, mục đích, phương pháp và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kết quả nghiên cứu.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Tóm tắt nội dung báo cáo dưới dạng sơ đồ.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các phương tiện phi ngôn ngữ như hình ảnh, âm thanh, video clip, thí nghiệm (nếu có) để làm rõ kết quả nghiên cứu.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Dùng phần mềm phù hợp để thiết kế bài báo cáo.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Cân nhắc nội dung chính, phụ để điều chỉnh dung lượng báo 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cáo.</w:t>
            </w:r>
            <w:proofErr w:type="gramEnd"/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Dự kiến các câu hỏi của người nghe và chuẩn bị câu trả lời.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Luyện tập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Bạn có thể tự ghi âm để nghe lại hoặc luyện tập với các bạn. Khi luyện tập, cần chú ý:</w:t>
            </w:r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Lựa chọn từ ngữ phù hợp với văn nói.</w:t>
            </w:r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Kết hợp sử dụng ngôn ngữ nói với phương tiện phi ngôn ngữ như: bài trình chiếu, hình ảnh, video clip, sơ đồ, bảng biểu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các từ nối để phần trình bày mạch lạc, rõ ràng</w:t>
            </w:r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Tốc độ nói phù hợp.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3. HOẠT ĐỘNG 3: THỰC HÀNH BÀI NÓI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Mục tiêu hoạt động: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năng lực ngôn ngữ và năng lực văn học để thực hành nói - nghe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Nội dung thực hiện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vận dụng kiến thức đã học đã hoàn thành bài nói và nghe theo rubric chấm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giao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thực hành nói – nghe theo nhóm hoặc nói trước cả lớp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trình bày phần bài làm của mình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4. Kết luận, nhận định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chốt lại các chia sẻ, lựa chọn các chia sẻ tốt để cả lớp tham khảo 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Bước 2: Trình bày bài nói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Khi trình bày, bạn cần:</w:t>
            </w:r>
          </w:p>
          <w:p w:rsidR="00F96DC9" w:rsidRPr="00F96DC9" w:rsidRDefault="00F96DC9" w:rsidP="00F96DC9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phần tóm tắt đã chuẩn bị từ trước.</w:t>
            </w:r>
          </w:p>
          <w:p w:rsidR="00F96DC9" w:rsidRPr="00F96DC9" w:rsidRDefault="00F96DC9" w:rsidP="00F96DC9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Kết hợp ngôn ngữ nói với các phương tiện giao tiếp phi ngôn ngữ.</w:t>
            </w:r>
          </w:p>
          <w:p w:rsidR="00F96DC9" w:rsidRPr="00F96DC9" w:rsidRDefault="00F96DC9" w:rsidP="00F96DC9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Đảm bảo thời gian cho phép.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Bước 3: Trao đổi, đánh giá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Khi trao đổi với người nghe, bạn nên</w:t>
            </w:r>
          </w:p>
          <w:p w:rsidR="00F96DC9" w:rsidRPr="00F96DC9" w:rsidRDefault="00F96DC9" w:rsidP="00F96DC9">
            <w:pPr>
              <w:numPr>
                <w:ilvl w:val="0"/>
                <w:numId w:val="9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Lắng nghe và ghi chép các câu hỏi, đánh dấu những câu hỏi có nội dung trùng lặp, lựa chọn một số câu hỏi quan trọng để phản hồi.</w:t>
            </w:r>
          </w:p>
          <w:p w:rsidR="00F96DC9" w:rsidRPr="00F96DC9" w:rsidRDefault="00F96DC9" w:rsidP="00F96DC9">
            <w:pPr>
              <w:numPr>
                <w:ilvl w:val="0"/>
                <w:numId w:val="9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Gạch đầu dòng ngắn gọn những ý trả lời cho các câu hỏi.</w:t>
            </w:r>
          </w:p>
          <w:p w:rsidR="00F96DC9" w:rsidRPr="00F96DC9" w:rsidRDefault="00F96DC9" w:rsidP="00F96DC9">
            <w:pPr>
              <w:numPr>
                <w:ilvl w:val="0"/>
                <w:numId w:val="9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Trả lời ngắn gọn, rõ ràng, đúng trọng tâm với thái độ lịch sự.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 khi trình bày xong bài báo cáo, bạn hãy tự trả lời những câu hỏi sau để hoàn thiện kĩ năng trình bày kết quả nghiên cứu:</w:t>
            </w:r>
          </w:p>
          <w:p w:rsidR="00F96DC9" w:rsidRPr="00F96DC9" w:rsidRDefault="00F96DC9" w:rsidP="00F96DC9">
            <w:pPr>
              <w:numPr>
                <w:ilvl w:val="0"/>
                <w:numId w:val="10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Điều gì làm tôi hài lòng khi trình bày bài báo</w:t>
            </w:r>
          </w:p>
          <w:p w:rsidR="00F96DC9" w:rsidRPr="00F96DC9" w:rsidRDefault="00F96DC9" w:rsidP="00F96DC9">
            <w:pPr>
              <w:numPr>
                <w:ilvl w:val="0"/>
                <w:numId w:val="10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Cần điều chỉnh những gì (về nội dung báo cáo, cách báo cáo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) và điều chỉnh như thế nào để người nghe hiểu rõ và hứng thú theo dõi bài trình bày của tôi?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4. HOẠT ĐỘNG 4: VẬN DỤNG, LIÊN HỆ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Mục tiêu hoạt động: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bàn luận về một vấn đề được đưa ra trong bài nói 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Nội dung thực hiện: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hoàn thành bài phân tích, đánh giá, chọn một vấn đề mang tính toàn cầu, xã hội để bàn luận cùng bạn bè trong lớp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giao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thảo luận và thực hiện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thực hiện thảo luận, tranh biện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trình bày phần bài làm của mình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4. Kết luận, nhận định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GV chốt lại các chia sẻ, lựa chọn các chia sẻ tốt để cả lớp tham khảo 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GV linh hoạt sử dụng phần chia sẻ bài làm của HS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P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D27E4B">
        <w:rPr>
          <w:rFonts w:ascii="Times New Roman" w:eastAsia="Times New Roman" w:hAnsi="Times New Roman" w:cs="Times New Roman"/>
          <w:b/>
          <w:i/>
          <w:sz w:val="24"/>
          <w:szCs w:val="24"/>
        </w:rPr>
        <w:t>Phụ lục.</w:t>
      </w:r>
      <w:proofErr w:type="gramEnd"/>
      <w:r w:rsidRPr="00D27E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Bảng kiểm kĩ năng nói – nghe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683"/>
        <w:gridCol w:w="1170"/>
        <w:gridCol w:w="1080"/>
      </w:tblGrid>
      <w:tr w:rsidR="00D27E4B" w:rsidRPr="00D27E4B" w:rsidTr="00D27E4B">
        <w:tc>
          <w:tcPr>
            <w:tcW w:w="1255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Phương diện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Nội dung kiểm tra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Đạt</w:t>
            </w: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Chưa đạt</w:t>
            </w:r>
          </w:p>
        </w:tc>
      </w:tr>
      <w:tr w:rsidR="00D27E4B" w:rsidRPr="00D27E4B" w:rsidTr="00D27E4B">
        <w:tc>
          <w:tcPr>
            <w:tcW w:w="1255" w:type="dxa"/>
            <w:vMerge w:val="restart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Mở đầu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Giới thiệu vấn đề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Trình bày được mục đích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Nêu được câu hỏi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Trình bày rõ các phương pháp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 w:val="restart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Nội dung báo cáo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Trình bày được cơ sở lí thuyết của đề tài.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Trình bày đầy đủ, rõ ràng các kết quả nghiên cứu.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rPr>
          <w:trHeight w:val="539"/>
        </w:trPr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Đề xuất được giải pháp để giải quyết, khắc phục (nếu có).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Kết luận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Tóm tắt kết quả nghiên cứu và khuyến nghị (nếu có).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 w:val="restart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Kĩ năng trình bày tương tác giữa người nói và người nghe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Trình bày rõ ràng, mạch lạc, đúng thời gian quy định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Sử dụng từ ngữ chính xác, đơn nghĩa.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Khai thác hiệu quả sự hỗ trợ của các phương tiện giao tiếp phi ngôn ngữ.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Sử dụng giọng điệu, điệu bộ hợp lí.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Tương tác tích cực với người nghe trong quá trình báo cáo.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Ghi nhận và phản hồi thoả đáng những câu hỏi, ý kiến phản biện của người nghe.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27E4B" w:rsidRP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</w:rPr>
      </w:pPr>
    </w:p>
    <w:p w:rsidR="00705F65" w:rsidRDefault="00705F65"/>
    <w:sectPr w:rsidR="00705F65" w:rsidSect="00F96DC9">
      <w:footerReference w:type="default" r:id="rId8"/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B6" w:rsidRDefault="00B507B6" w:rsidP="006B45EE">
      <w:pPr>
        <w:spacing w:after="0" w:line="240" w:lineRule="auto"/>
      </w:pPr>
      <w:r>
        <w:separator/>
      </w:r>
    </w:p>
  </w:endnote>
  <w:endnote w:type="continuationSeparator" w:id="0">
    <w:p w:rsidR="00B507B6" w:rsidRDefault="00B507B6" w:rsidP="006B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EE" w:rsidRPr="006B45EE" w:rsidRDefault="006B45EE" w:rsidP="006B45EE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sz w:val="26"/>
        <w:szCs w:val="26"/>
      </w:rPr>
    </w:pPr>
    <w:r w:rsidRPr="006B45EE">
      <w:rPr>
        <w:rFonts w:ascii="Times New Roman" w:eastAsia="Calibri" w:hAnsi="Times New Roman" w:cs="Times New Roman"/>
        <w:i/>
        <w:sz w:val="26"/>
        <w:szCs w:val="26"/>
      </w:rPr>
      <w:t>Sản phẩm của nhóm Zalo: NGỮ VĂN THPT (Nhóm cô Thu Huyền) – DỰ ÁN CỘNG ĐỒNG</w:t>
    </w:r>
  </w:p>
  <w:p w:rsidR="006B45EE" w:rsidRDefault="006B4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B6" w:rsidRDefault="00B507B6" w:rsidP="006B45EE">
      <w:pPr>
        <w:spacing w:after="0" w:line="240" w:lineRule="auto"/>
      </w:pPr>
      <w:r>
        <w:separator/>
      </w:r>
    </w:p>
  </w:footnote>
  <w:footnote w:type="continuationSeparator" w:id="0">
    <w:p w:rsidR="00B507B6" w:rsidRDefault="00B507B6" w:rsidP="006B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F4F"/>
    <w:multiLevelType w:val="hybridMultilevel"/>
    <w:tmpl w:val="AFC8F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720FF"/>
    <w:multiLevelType w:val="hybridMultilevel"/>
    <w:tmpl w:val="3F9CC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581BD7"/>
    <w:multiLevelType w:val="hybridMultilevel"/>
    <w:tmpl w:val="5A968AA6"/>
    <w:lvl w:ilvl="0" w:tplc="BFA46EB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FA2350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D2DD3"/>
    <w:multiLevelType w:val="multilevel"/>
    <w:tmpl w:val="42CCFE5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6B5153"/>
    <w:multiLevelType w:val="hybridMultilevel"/>
    <w:tmpl w:val="373ED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B1CEA"/>
    <w:multiLevelType w:val="hybridMultilevel"/>
    <w:tmpl w:val="100C0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6F6352"/>
    <w:multiLevelType w:val="hybridMultilevel"/>
    <w:tmpl w:val="0CB86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31338"/>
    <w:multiLevelType w:val="multilevel"/>
    <w:tmpl w:val="E582340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80B3AF2"/>
    <w:multiLevelType w:val="multilevel"/>
    <w:tmpl w:val="084216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9830F1F"/>
    <w:multiLevelType w:val="multilevel"/>
    <w:tmpl w:val="7BA8555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C9"/>
    <w:rsid w:val="006B45EE"/>
    <w:rsid w:val="00705F65"/>
    <w:rsid w:val="00B507B6"/>
    <w:rsid w:val="00D27E4B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E4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EE"/>
  </w:style>
  <w:style w:type="paragraph" w:styleId="Footer">
    <w:name w:val="footer"/>
    <w:basedOn w:val="Normal"/>
    <w:link w:val="Foot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E4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EE"/>
  </w:style>
  <w:style w:type="paragraph" w:styleId="Footer">
    <w:name w:val="footer"/>
    <w:basedOn w:val="Normal"/>
    <w:link w:val="Foot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5692</Characters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2023-08-09T12:56:00Z</dcterms:created>
  <dcterms:modified xsi:type="dcterms:W3CDTF">2023-08-12T23:59:00Z</dcterms:modified>
</cp:coreProperties>
</file>