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5775F25B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soạn: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176516" w:rsidRPr="00176516">
        <w:rPr>
          <w:b/>
          <w:bCs/>
          <w:sz w:val="28"/>
          <w:szCs w:val="28"/>
        </w:rPr>
        <w:t>04</w:t>
      </w:r>
      <w:r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176516" w:rsidRPr="00176516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/202</w:t>
      </w:r>
      <w:r w:rsidR="00CE7BA9" w:rsidRPr="00176516">
        <w:rPr>
          <w:b/>
          <w:bCs/>
          <w:sz w:val="28"/>
          <w:szCs w:val="28"/>
        </w:rPr>
        <w:t>3</w:t>
      </w:r>
    </w:p>
    <w:p w14:paraId="00F9DAD2" w14:textId="144FD62B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CE7BA9" w:rsidRPr="00176516">
        <w:rPr>
          <w:b/>
          <w:bCs/>
          <w:sz w:val="28"/>
          <w:szCs w:val="28"/>
        </w:rPr>
        <w:t>0</w:t>
      </w:r>
      <w:r w:rsidR="00176516" w:rsidRPr="00176516">
        <w:rPr>
          <w:b/>
          <w:bCs/>
          <w:sz w:val="28"/>
          <w:szCs w:val="28"/>
        </w:rPr>
        <w:t>9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57078D" w:rsidRPr="00176516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E7BA9" w:rsidRPr="00176516">
        <w:rPr>
          <w:b/>
          <w:bCs/>
          <w:sz w:val="28"/>
          <w:szCs w:val="28"/>
        </w:rPr>
        <w:t>3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0C4C620A" w14:textId="13A93B20" w:rsidR="00C5741F" w:rsidRPr="00176516" w:rsidRDefault="00C5741F" w:rsidP="00C5741F">
      <w:pPr>
        <w:pStyle w:val="BodyText"/>
        <w:shd w:val="clear" w:color="auto" w:fill="auto"/>
        <w:spacing w:after="60" w:line="240" w:lineRule="auto"/>
        <w:jc w:val="center"/>
        <w:rPr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176516" w:rsidRPr="00176516">
        <w:rPr>
          <w:b/>
          <w:bCs/>
          <w:sz w:val="28"/>
          <w:szCs w:val="28"/>
        </w:rPr>
        <w:t>62</w:t>
      </w:r>
      <w:r w:rsidR="00E65A78" w:rsidRPr="00176516">
        <w:rPr>
          <w:b/>
          <w:bCs/>
          <w:sz w:val="28"/>
          <w:szCs w:val="28"/>
        </w:rPr>
        <w:t xml:space="preserve">: </w:t>
      </w:r>
      <w:r w:rsidR="00176516" w:rsidRPr="00176516">
        <w:rPr>
          <w:b/>
          <w:bCs/>
          <w:sz w:val="28"/>
          <w:szCs w:val="28"/>
        </w:rPr>
        <w:t>CÔNG VIỆC TRONG GIA ĐÌNH</w:t>
      </w:r>
    </w:p>
    <w:p w14:paraId="00ED63FF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2E21EE9A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66CB4FED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20C63577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6EFDE9D9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1E011EF3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651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:</w:t>
      </w:r>
    </w:p>
    <w:p w14:paraId="2C0D0028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09CBDAFF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Giao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6C9D21A8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51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63210CA3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05EEA48E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14:paraId="2F2B9F2C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17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37862EAE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 nay</w:t>
      </w:r>
    </w:p>
    <w:p w14:paraId="31B99EEE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3912E282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24886B19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14:paraId="208157B4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1D0E6205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4BD3142F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7BBA3C04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329D69B4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51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176516">
        <w:rPr>
          <w:rFonts w:ascii="Times New Roman" w:hAnsi="Times New Roman" w:cs="Times New Roman"/>
          <w:sz w:val="28"/>
          <w:szCs w:val="28"/>
        </w:rPr>
        <w:t>).</w:t>
      </w:r>
    </w:p>
    <w:p w14:paraId="5BECE8CB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2AAB9BC0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1482CCB9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1E2A664C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khoản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ưu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tiên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chế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>.</w:t>
      </w:r>
    </w:p>
    <w:p w14:paraId="5BA33BDD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>:</w:t>
      </w:r>
    </w:p>
    <w:p w14:paraId="203C675A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4855A7E9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191762AC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76516">
        <w:rPr>
          <w:rFonts w:ascii="Times New Roman" w:hAnsi="Times New Roman" w:cs="Times New Roman"/>
          <w:b/>
          <w:sz w:val="28"/>
          <w:szCs w:val="28"/>
        </w:rPr>
        <w:t>dung:</w:t>
      </w:r>
      <w:r w:rsidRPr="00176516"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12FD6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76516">
        <w:rPr>
          <w:rFonts w:ascii="Times New Roman" w:hAnsi="Times New Roman" w:cs="Times New Roman"/>
          <w:b/>
          <w:sz w:val="28"/>
          <w:szCs w:val="28"/>
        </w:rPr>
        <w:t>phẩm:</w:t>
      </w:r>
      <w:r w:rsidRPr="00176516"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4704E5EE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04"/>
        <w:gridCol w:w="3753"/>
      </w:tblGrid>
      <w:tr w:rsidR="00176516" w:rsidRPr="00176516" w14:paraId="33E689CD" w14:textId="77777777" w:rsidTr="00856571">
        <w:tc>
          <w:tcPr>
            <w:tcW w:w="5670" w:type="dxa"/>
          </w:tcPr>
          <w:p w14:paraId="21F5B65A" w14:textId="77777777" w:rsidR="00176516" w:rsidRPr="00176516" w:rsidRDefault="00176516" w:rsidP="008565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6A615AD5" w14:textId="77777777" w:rsidR="00176516" w:rsidRPr="00176516" w:rsidRDefault="00176516" w:rsidP="008565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176516" w:rsidRPr="00176516" w14:paraId="58C5853F" w14:textId="77777777" w:rsidTr="00856571">
        <w:tc>
          <w:tcPr>
            <w:tcW w:w="5670" w:type="dxa"/>
          </w:tcPr>
          <w:p w14:paraId="2E4150F2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1ACB14BB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Tiết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kiệm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suốt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mới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đủ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tiền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mua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cuốn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mà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thích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Nhưng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rủ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ăn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liên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hoan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mai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tiền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đó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đủ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cả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hai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17651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BE701FA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43CEED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0C6644B9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6732E4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182BD1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5E55ECB5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66B84B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7CB8D53B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9D93D48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5" w:type="dxa"/>
          </w:tcPr>
          <w:p w14:paraId="7E10CEF1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1.Xác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khoản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ưu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tiên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khi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tiền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hạn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chế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5DFE0F2" w14:textId="77777777" w:rsidR="00176516" w:rsidRPr="00176516" w:rsidRDefault="00176516" w:rsidP="0085657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C9599DB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lastRenderedPageBreak/>
        <w:t>Hoạt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chi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</w:p>
    <w:p w14:paraId="023C237B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>:</w:t>
      </w:r>
    </w:p>
    <w:p w14:paraId="5829CCA5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569CC12A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cụ</w:t>
      </w:r>
      <w:proofErr w:type="spellEnd"/>
    </w:p>
    <w:p w14:paraId="56AB5654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76516">
        <w:rPr>
          <w:rFonts w:ascii="Times New Roman" w:hAnsi="Times New Roman" w:cs="Times New Roman"/>
          <w:b/>
          <w:sz w:val="28"/>
          <w:szCs w:val="28"/>
        </w:rPr>
        <w:t>dung:</w:t>
      </w:r>
      <w:r w:rsidRPr="00176516"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</w:p>
    <w:p w14:paraId="061BA7D7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76516">
        <w:rPr>
          <w:rFonts w:ascii="Times New Roman" w:hAnsi="Times New Roman" w:cs="Times New Roman"/>
          <w:b/>
          <w:sz w:val="28"/>
          <w:szCs w:val="28"/>
        </w:rPr>
        <w:t>phẩm:</w:t>
      </w:r>
      <w:r w:rsidRPr="00176516">
        <w:rPr>
          <w:rFonts w:ascii="Times New Roman" w:hAnsi="Times New Roman" w:cs="Times New Roman"/>
          <w:sz w:val="28"/>
          <w:szCs w:val="28"/>
        </w:rPr>
        <w:t>Kế</w:t>
      </w:r>
      <w:proofErr w:type="spellEnd"/>
      <w:proofErr w:type="gramEnd"/>
      <w:r w:rsidRPr="0017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7651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76516">
        <w:rPr>
          <w:rFonts w:ascii="Times New Roman" w:hAnsi="Times New Roman" w:cs="Times New Roman"/>
          <w:sz w:val="28"/>
          <w:szCs w:val="28"/>
        </w:rPr>
        <w:t>.</w:t>
      </w:r>
    </w:p>
    <w:p w14:paraId="6E0295FB" w14:textId="77777777" w:rsidR="00176516" w:rsidRPr="00176516" w:rsidRDefault="00176516" w:rsidP="0017651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6516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651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17651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83"/>
        <w:gridCol w:w="3674"/>
      </w:tblGrid>
      <w:tr w:rsidR="00176516" w:rsidRPr="00176516" w14:paraId="0050D2B5" w14:textId="77777777" w:rsidTr="00856571">
        <w:tc>
          <w:tcPr>
            <w:tcW w:w="5670" w:type="dxa"/>
          </w:tcPr>
          <w:p w14:paraId="7440A4D5" w14:textId="77777777" w:rsidR="00176516" w:rsidRPr="00176516" w:rsidRDefault="00176516" w:rsidP="008565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14:paraId="6F0079E2" w14:textId="77777777" w:rsidR="00176516" w:rsidRPr="00176516" w:rsidRDefault="00176516" w:rsidP="0085657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176516" w:rsidRPr="00176516" w14:paraId="28BB070A" w14:textId="77777777" w:rsidTr="00856571">
        <w:tc>
          <w:tcPr>
            <w:tcW w:w="5670" w:type="dxa"/>
          </w:tcPr>
          <w:p w14:paraId="37B02A1E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7C4C9BDC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100.000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ý:</w:t>
            </w: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06"/>
              <w:gridCol w:w="1673"/>
              <w:gridCol w:w="1678"/>
            </w:tblGrid>
            <w:tr w:rsidR="00176516" w:rsidRPr="00176516" w14:paraId="262FDD5B" w14:textId="77777777" w:rsidTr="00856571">
              <w:tc>
                <w:tcPr>
                  <w:tcW w:w="1813" w:type="dxa"/>
                </w:tcPr>
                <w:p w14:paraId="220442C8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Các</w:t>
                  </w:r>
                  <w:proofErr w:type="spellEnd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khoản</w:t>
                  </w:r>
                  <w:proofErr w:type="spellEnd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chi </w:t>
                  </w: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tiêu</w:t>
                  </w:r>
                  <w:proofErr w:type="spellEnd"/>
                </w:p>
              </w:tc>
              <w:tc>
                <w:tcPr>
                  <w:tcW w:w="1813" w:type="dxa"/>
                </w:tcPr>
                <w:p w14:paraId="1882AFE0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Dự</w:t>
                  </w:r>
                  <w:proofErr w:type="spellEnd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tính</w:t>
                  </w:r>
                  <w:proofErr w:type="spellEnd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số</w:t>
                  </w:r>
                  <w:proofErr w:type="spellEnd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tiền</w:t>
                  </w:r>
                  <w:proofErr w:type="spellEnd"/>
                </w:p>
              </w:tc>
              <w:tc>
                <w:tcPr>
                  <w:tcW w:w="1813" w:type="dxa"/>
                </w:tcPr>
                <w:p w14:paraId="68A1E735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Tỉ</w:t>
                  </w:r>
                  <w:proofErr w:type="spellEnd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lệ</w:t>
                  </w:r>
                  <w:proofErr w:type="spellEnd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% so </w:t>
                  </w: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với</w:t>
                  </w:r>
                  <w:proofErr w:type="spellEnd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651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tổng</w:t>
                  </w:r>
                  <w:proofErr w:type="spellEnd"/>
                </w:p>
              </w:tc>
            </w:tr>
            <w:tr w:rsidR="00176516" w:rsidRPr="00176516" w14:paraId="1FC475A6" w14:textId="77777777" w:rsidTr="00856571">
              <w:tc>
                <w:tcPr>
                  <w:tcW w:w="1813" w:type="dxa"/>
                </w:tcPr>
                <w:p w14:paraId="154BC4A0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 w:rsidRPr="00176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Ăn</w:t>
                  </w:r>
                  <w:proofErr w:type="spellEnd"/>
                  <w:r w:rsidRPr="00176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76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813" w:type="dxa"/>
                </w:tcPr>
                <w:p w14:paraId="16C2FC6E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</w:tcPr>
                <w:p w14:paraId="515AB451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76516" w:rsidRPr="00176516" w14:paraId="482EE795" w14:textId="77777777" w:rsidTr="00856571">
              <w:tc>
                <w:tcPr>
                  <w:tcW w:w="1813" w:type="dxa"/>
                </w:tcPr>
                <w:p w14:paraId="4EE21C33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813" w:type="dxa"/>
                </w:tcPr>
                <w:p w14:paraId="5360A186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</w:tcPr>
                <w:p w14:paraId="3D217915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76516" w:rsidRPr="00176516" w14:paraId="09F57934" w14:textId="77777777" w:rsidTr="00856571">
              <w:tc>
                <w:tcPr>
                  <w:tcW w:w="1813" w:type="dxa"/>
                </w:tcPr>
                <w:p w14:paraId="4A770782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813" w:type="dxa"/>
                </w:tcPr>
                <w:p w14:paraId="5367F1E6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</w:tcPr>
                <w:p w14:paraId="55B7DF11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76516" w:rsidRPr="00176516" w14:paraId="19255EAB" w14:textId="77777777" w:rsidTr="00856571">
              <w:tc>
                <w:tcPr>
                  <w:tcW w:w="1813" w:type="dxa"/>
                </w:tcPr>
                <w:p w14:paraId="29377431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813" w:type="dxa"/>
                </w:tcPr>
                <w:p w14:paraId="4F714D66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</w:tcPr>
                <w:p w14:paraId="48B3147A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76516" w:rsidRPr="00176516" w14:paraId="4EC31445" w14:textId="77777777" w:rsidTr="00856571">
              <w:tc>
                <w:tcPr>
                  <w:tcW w:w="1813" w:type="dxa"/>
                </w:tcPr>
                <w:p w14:paraId="49AD9180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765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Tổng</w:t>
                  </w:r>
                  <w:proofErr w:type="spellEnd"/>
                </w:p>
              </w:tc>
              <w:tc>
                <w:tcPr>
                  <w:tcW w:w="1813" w:type="dxa"/>
                </w:tcPr>
                <w:p w14:paraId="22B3AB00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3" w:type="dxa"/>
                </w:tcPr>
                <w:p w14:paraId="61B3EE1F" w14:textId="77777777" w:rsidR="00176516" w:rsidRPr="00176516" w:rsidRDefault="00176516" w:rsidP="00856571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CED8252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bề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AD42CE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47E8A975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B9D86D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B0AF27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Báo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543C580A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Chia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0A4E8D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7445AC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14:paraId="4FA1B824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0A22230F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055" w:type="dxa"/>
          </w:tcPr>
          <w:p w14:paraId="5AA7B217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2.Lập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kế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hoạch</w:t>
            </w:r>
            <w:proofErr w:type="spellEnd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  <w:p w14:paraId="6E680CAC" w14:textId="77777777" w:rsidR="00176516" w:rsidRPr="00176516" w:rsidRDefault="00176516" w:rsidP="008565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76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51F289D" w14:textId="77777777" w:rsidR="00176516" w:rsidRPr="00176516" w:rsidRDefault="00176516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</w:rPr>
      </w:pP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56E5" w14:textId="77777777" w:rsidR="007034EB" w:rsidRDefault="007034EB" w:rsidP="00F629EF">
      <w:pPr>
        <w:spacing w:after="0" w:line="240" w:lineRule="auto"/>
      </w:pPr>
      <w:r>
        <w:separator/>
      </w:r>
    </w:p>
  </w:endnote>
  <w:endnote w:type="continuationSeparator" w:id="0">
    <w:p w14:paraId="323BEF87" w14:textId="77777777" w:rsidR="007034EB" w:rsidRDefault="007034EB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CA1C" w14:textId="77777777" w:rsidR="007034EB" w:rsidRDefault="007034EB" w:rsidP="00F629EF">
      <w:pPr>
        <w:spacing w:after="0" w:line="240" w:lineRule="auto"/>
      </w:pPr>
      <w:r>
        <w:separator/>
      </w:r>
    </w:p>
  </w:footnote>
  <w:footnote w:type="continuationSeparator" w:id="0">
    <w:p w14:paraId="148053B5" w14:textId="77777777" w:rsidR="007034EB" w:rsidRDefault="007034EB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6"/>
  </w:num>
  <w:num w:numId="3" w16cid:durableId="333846196">
    <w:abstractNumId w:val="15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7"/>
  </w:num>
  <w:num w:numId="7" w16cid:durableId="9597236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0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2"/>
  </w:num>
  <w:num w:numId="24" w16cid:durableId="131289541">
    <w:abstractNumId w:val="3"/>
  </w:num>
  <w:num w:numId="25" w16cid:durableId="6996222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724DE"/>
    <w:rsid w:val="000A7E10"/>
    <w:rsid w:val="000F0B2C"/>
    <w:rsid w:val="00176516"/>
    <w:rsid w:val="001A36CD"/>
    <w:rsid w:val="001E320E"/>
    <w:rsid w:val="002A0E38"/>
    <w:rsid w:val="0034121B"/>
    <w:rsid w:val="003635DE"/>
    <w:rsid w:val="003D24AE"/>
    <w:rsid w:val="0040413D"/>
    <w:rsid w:val="004F5FEB"/>
    <w:rsid w:val="00512E60"/>
    <w:rsid w:val="00537E62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6543E"/>
    <w:rsid w:val="009756A0"/>
    <w:rsid w:val="00993875"/>
    <w:rsid w:val="009A5C89"/>
    <w:rsid w:val="00A235C5"/>
    <w:rsid w:val="00A71F0E"/>
    <w:rsid w:val="00B24182"/>
    <w:rsid w:val="00BB3E50"/>
    <w:rsid w:val="00C5741F"/>
    <w:rsid w:val="00CE7BA9"/>
    <w:rsid w:val="00DB5CF1"/>
    <w:rsid w:val="00E65A78"/>
    <w:rsid w:val="00E93AFE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2023-01-31T08:47:00Z</dcterms:created>
  <dcterms:modified xsi:type="dcterms:W3CDTF">2023-01-31T08:47:00Z</dcterms:modified>
</cp:coreProperties>
</file>