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EastAsia" w:cstheme="majorHAnsi"/>
          <w:b/>
          <w:bCs/>
          <w:noProof/>
          <w:color w:val="auto"/>
          <w:kern w:val="2"/>
          <w:sz w:val="28"/>
          <w:szCs w:val="28"/>
          <w:lang w:eastAsia="zh-CN"/>
          <w14:ligatures w14:val="standardContextual"/>
        </w:rPr>
        <w:id w:val="-918711354"/>
        <w:docPartObj>
          <w:docPartGallery w:val="Table of Contents"/>
          <w:docPartUnique/>
        </w:docPartObj>
      </w:sdtPr>
      <w:sdtContent>
        <w:p w14:paraId="7D383A55" w14:textId="5209F38D" w:rsidR="00F866DC" w:rsidRPr="00145D21" w:rsidRDefault="00F866DC" w:rsidP="00DF609C">
          <w:pPr>
            <w:pStyle w:val="TOCHeading"/>
            <w:ind w:firstLine="284"/>
            <w:jc w:val="center"/>
            <w:rPr>
              <w:rFonts w:cstheme="majorHAnsi"/>
              <w:b/>
              <w:bCs/>
              <w:color w:val="auto"/>
              <w:sz w:val="28"/>
              <w:szCs w:val="28"/>
            </w:rPr>
          </w:pPr>
          <w:r w:rsidRPr="00145D21">
            <w:rPr>
              <w:rFonts w:cstheme="majorHAnsi"/>
              <w:b/>
              <w:bCs/>
              <w:color w:val="auto"/>
              <w:sz w:val="28"/>
              <w:szCs w:val="28"/>
            </w:rPr>
            <w:t>TABLE OF CONTENTS</w:t>
          </w:r>
        </w:p>
        <w:p w14:paraId="48880236" w14:textId="2EE82C84" w:rsidR="00F866DC" w:rsidRPr="00145D21" w:rsidRDefault="00F866DC" w:rsidP="00DF609C">
          <w:pPr>
            <w:pStyle w:val="TOC1"/>
            <w:tabs>
              <w:tab w:val="right" w:leader="dot" w:pos="9016"/>
            </w:tabs>
            <w:ind w:firstLine="284"/>
            <w:rPr>
              <w:rFonts w:asciiTheme="majorHAnsi" w:hAnsiTheme="majorHAnsi" w:cstheme="majorHAnsi"/>
              <w:sz w:val="28"/>
              <w:szCs w:val="28"/>
              <w:lang w:eastAsia="en-US"/>
            </w:rPr>
          </w:pPr>
          <w:r w:rsidRPr="00145D21">
            <w:rPr>
              <w:rFonts w:asciiTheme="majorHAnsi" w:hAnsiTheme="majorHAnsi" w:cstheme="majorHAnsi"/>
              <w:sz w:val="28"/>
              <w:szCs w:val="28"/>
            </w:rPr>
            <w:fldChar w:fldCharType="begin"/>
          </w:r>
          <w:r w:rsidRPr="00145D21">
            <w:rPr>
              <w:rFonts w:asciiTheme="majorHAnsi" w:hAnsiTheme="majorHAnsi" w:cstheme="majorHAnsi"/>
              <w:sz w:val="28"/>
              <w:szCs w:val="28"/>
            </w:rPr>
            <w:instrText xml:space="preserve"> TOC \o "1-3" \h \z \u </w:instrText>
          </w:r>
          <w:r w:rsidRPr="00145D21">
            <w:rPr>
              <w:rFonts w:asciiTheme="majorHAnsi" w:hAnsiTheme="majorHAnsi" w:cstheme="majorHAnsi"/>
              <w:sz w:val="28"/>
              <w:szCs w:val="28"/>
            </w:rPr>
            <w:fldChar w:fldCharType="separate"/>
          </w:r>
          <w:hyperlink w:anchor="_Toc200704571" w:history="1">
            <w:r w:rsidRPr="00145D21">
              <w:rPr>
                <w:rStyle w:val="Hyperlink"/>
                <w:rFonts w:asciiTheme="majorHAnsi" w:hAnsiTheme="majorHAnsi" w:cstheme="majorHAnsi"/>
                <w:b/>
                <w:bCs/>
                <w:sz w:val="28"/>
                <w:szCs w:val="28"/>
              </w:rPr>
              <w:t>CHAPTER I: INTRODUCTION</w:t>
            </w:r>
            <w:r w:rsidRPr="00145D21">
              <w:rPr>
                <w:rFonts w:asciiTheme="majorHAnsi" w:hAnsiTheme="majorHAnsi" w:cstheme="majorHAnsi"/>
                <w:webHidden/>
                <w:sz w:val="28"/>
                <w:szCs w:val="28"/>
              </w:rPr>
              <w:tab/>
            </w:r>
            <w:r w:rsidRPr="00145D21">
              <w:rPr>
                <w:rFonts w:asciiTheme="majorHAnsi" w:hAnsiTheme="majorHAnsi" w:cstheme="majorHAnsi"/>
                <w:webHidden/>
                <w:sz w:val="28"/>
                <w:szCs w:val="28"/>
              </w:rPr>
              <w:fldChar w:fldCharType="begin"/>
            </w:r>
            <w:r w:rsidRPr="00145D21">
              <w:rPr>
                <w:rFonts w:asciiTheme="majorHAnsi" w:hAnsiTheme="majorHAnsi" w:cstheme="majorHAnsi"/>
                <w:webHidden/>
                <w:sz w:val="28"/>
                <w:szCs w:val="28"/>
              </w:rPr>
              <w:instrText xml:space="preserve"> PAGEREF _Toc200704571 \h </w:instrText>
            </w:r>
            <w:r w:rsidRPr="00145D21">
              <w:rPr>
                <w:rFonts w:asciiTheme="majorHAnsi" w:hAnsiTheme="majorHAnsi" w:cstheme="majorHAnsi"/>
                <w:webHidden/>
                <w:sz w:val="28"/>
                <w:szCs w:val="28"/>
              </w:rPr>
            </w:r>
            <w:r w:rsidRPr="00145D21">
              <w:rPr>
                <w:rFonts w:asciiTheme="majorHAnsi" w:hAnsiTheme="majorHAnsi" w:cstheme="majorHAnsi"/>
                <w:webHidden/>
                <w:sz w:val="28"/>
                <w:szCs w:val="28"/>
              </w:rPr>
              <w:fldChar w:fldCharType="separate"/>
            </w:r>
            <w:r w:rsidR="00231AEE">
              <w:rPr>
                <w:rFonts w:asciiTheme="majorHAnsi" w:hAnsiTheme="majorHAnsi" w:cstheme="majorHAnsi"/>
                <w:webHidden/>
                <w:sz w:val="28"/>
                <w:szCs w:val="28"/>
              </w:rPr>
              <w:t>2</w:t>
            </w:r>
            <w:r w:rsidRPr="00145D21">
              <w:rPr>
                <w:rFonts w:asciiTheme="majorHAnsi" w:hAnsiTheme="majorHAnsi" w:cstheme="majorHAnsi"/>
                <w:webHidden/>
                <w:sz w:val="28"/>
                <w:szCs w:val="28"/>
              </w:rPr>
              <w:fldChar w:fldCharType="end"/>
            </w:r>
          </w:hyperlink>
        </w:p>
        <w:p w14:paraId="24C9A683" w14:textId="4BECE220"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72" w:history="1">
            <w:r w:rsidRPr="00145D21">
              <w:rPr>
                <w:rStyle w:val="Hyperlink"/>
                <w:rFonts w:asciiTheme="majorHAnsi" w:hAnsiTheme="majorHAnsi" w:cstheme="majorHAnsi"/>
                <w:i/>
                <w:iCs/>
                <w:sz w:val="28"/>
                <w:szCs w:val="28"/>
              </w:rPr>
              <w:t>1.1. Rationale of the Study</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_Toc200704572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2</w:t>
            </w:r>
            <w:r w:rsidRPr="00145D21">
              <w:rPr>
                <w:rFonts w:asciiTheme="majorHAnsi" w:hAnsiTheme="majorHAnsi" w:cstheme="majorHAnsi"/>
                <w:i/>
                <w:iCs/>
                <w:webHidden/>
                <w:sz w:val="28"/>
                <w:szCs w:val="28"/>
              </w:rPr>
              <w:fldChar w:fldCharType="end"/>
            </w:r>
          </w:hyperlink>
        </w:p>
        <w:p w14:paraId="6705C1B6" w14:textId="2FBFC8AB"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73" w:history="1">
            <w:r w:rsidRPr="00145D21">
              <w:rPr>
                <w:rStyle w:val="Hyperlink"/>
                <w:rFonts w:asciiTheme="majorHAnsi" w:hAnsiTheme="majorHAnsi" w:cstheme="majorHAnsi"/>
                <w:i/>
                <w:iCs/>
                <w:sz w:val="28"/>
                <w:szCs w:val="28"/>
              </w:rPr>
              <w:t>1.2. Aims of the Study</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_Toc200704573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2</w:t>
            </w:r>
            <w:r w:rsidRPr="00145D21">
              <w:rPr>
                <w:rFonts w:asciiTheme="majorHAnsi" w:hAnsiTheme="majorHAnsi" w:cstheme="majorHAnsi"/>
                <w:i/>
                <w:iCs/>
                <w:webHidden/>
                <w:sz w:val="28"/>
                <w:szCs w:val="28"/>
              </w:rPr>
              <w:fldChar w:fldCharType="end"/>
            </w:r>
          </w:hyperlink>
        </w:p>
        <w:p w14:paraId="62E53FF4" w14:textId="76CE7508"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74" w:history="1">
            <w:r w:rsidRPr="00145D21">
              <w:rPr>
                <w:rStyle w:val="Hyperlink"/>
                <w:rFonts w:asciiTheme="majorHAnsi" w:hAnsiTheme="majorHAnsi" w:cstheme="majorHAnsi"/>
                <w:i/>
                <w:iCs/>
                <w:sz w:val="28"/>
                <w:szCs w:val="28"/>
              </w:rPr>
              <w:t>1.3. Scope of the Study</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_Toc200704574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2</w:t>
            </w:r>
            <w:r w:rsidRPr="00145D21">
              <w:rPr>
                <w:rFonts w:asciiTheme="majorHAnsi" w:hAnsiTheme="majorHAnsi" w:cstheme="majorHAnsi"/>
                <w:i/>
                <w:iCs/>
                <w:webHidden/>
                <w:sz w:val="28"/>
                <w:szCs w:val="28"/>
              </w:rPr>
              <w:fldChar w:fldCharType="end"/>
            </w:r>
          </w:hyperlink>
        </w:p>
        <w:p w14:paraId="0FD34F82" w14:textId="0A85A514"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75" w:history="1">
            <w:r w:rsidRPr="00145D21">
              <w:rPr>
                <w:rStyle w:val="Hyperlink"/>
                <w:rFonts w:asciiTheme="majorHAnsi" w:hAnsiTheme="majorHAnsi" w:cstheme="majorHAnsi"/>
                <w:i/>
                <w:iCs/>
                <w:sz w:val="28"/>
                <w:szCs w:val="28"/>
              </w:rPr>
              <w:t>1.4. Significance of the Study</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_Toc200704575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3</w:t>
            </w:r>
            <w:r w:rsidRPr="00145D21">
              <w:rPr>
                <w:rFonts w:asciiTheme="majorHAnsi" w:hAnsiTheme="majorHAnsi" w:cstheme="majorHAnsi"/>
                <w:i/>
                <w:iCs/>
                <w:webHidden/>
                <w:sz w:val="28"/>
                <w:szCs w:val="28"/>
              </w:rPr>
              <w:fldChar w:fldCharType="end"/>
            </w:r>
          </w:hyperlink>
        </w:p>
        <w:p w14:paraId="389DD5DD" w14:textId="4BEBEE80" w:rsidR="00F866DC" w:rsidRPr="00145D21" w:rsidRDefault="00F866DC" w:rsidP="00DF609C">
          <w:pPr>
            <w:pStyle w:val="TOC1"/>
            <w:tabs>
              <w:tab w:val="right" w:leader="dot" w:pos="9016"/>
            </w:tabs>
            <w:ind w:firstLine="284"/>
            <w:rPr>
              <w:rFonts w:asciiTheme="majorHAnsi" w:hAnsiTheme="majorHAnsi" w:cstheme="majorHAnsi"/>
              <w:sz w:val="28"/>
              <w:szCs w:val="28"/>
              <w:lang w:eastAsia="en-US"/>
            </w:rPr>
          </w:pPr>
          <w:hyperlink w:anchor="_Toc200704576" w:history="1">
            <w:r w:rsidRPr="00145D21">
              <w:rPr>
                <w:rStyle w:val="Hyperlink"/>
                <w:rFonts w:asciiTheme="majorHAnsi" w:hAnsiTheme="majorHAnsi" w:cstheme="majorHAnsi"/>
                <w:b/>
                <w:bCs/>
                <w:sz w:val="28"/>
                <w:szCs w:val="28"/>
              </w:rPr>
              <w:t>CHAPTER II: LITERATURE REVIEW</w:t>
            </w:r>
            <w:r w:rsidRPr="00145D21">
              <w:rPr>
                <w:rFonts w:asciiTheme="majorHAnsi" w:hAnsiTheme="majorHAnsi" w:cstheme="majorHAnsi"/>
                <w:webHidden/>
                <w:sz w:val="28"/>
                <w:szCs w:val="28"/>
              </w:rPr>
              <w:tab/>
            </w:r>
            <w:r w:rsidRPr="00145D21">
              <w:rPr>
                <w:rFonts w:asciiTheme="majorHAnsi" w:hAnsiTheme="majorHAnsi" w:cstheme="majorHAnsi"/>
                <w:webHidden/>
                <w:sz w:val="28"/>
                <w:szCs w:val="28"/>
              </w:rPr>
              <w:fldChar w:fldCharType="begin"/>
            </w:r>
            <w:r w:rsidRPr="00145D21">
              <w:rPr>
                <w:rFonts w:asciiTheme="majorHAnsi" w:hAnsiTheme="majorHAnsi" w:cstheme="majorHAnsi"/>
                <w:webHidden/>
                <w:sz w:val="28"/>
                <w:szCs w:val="28"/>
              </w:rPr>
              <w:instrText xml:space="preserve"> PAGEREF _Toc200704576 \h </w:instrText>
            </w:r>
            <w:r w:rsidRPr="00145D21">
              <w:rPr>
                <w:rFonts w:asciiTheme="majorHAnsi" w:hAnsiTheme="majorHAnsi" w:cstheme="majorHAnsi"/>
                <w:webHidden/>
                <w:sz w:val="28"/>
                <w:szCs w:val="28"/>
              </w:rPr>
            </w:r>
            <w:r w:rsidRPr="00145D21">
              <w:rPr>
                <w:rFonts w:asciiTheme="majorHAnsi" w:hAnsiTheme="majorHAnsi" w:cstheme="majorHAnsi"/>
                <w:webHidden/>
                <w:sz w:val="28"/>
                <w:szCs w:val="28"/>
              </w:rPr>
              <w:fldChar w:fldCharType="separate"/>
            </w:r>
            <w:r w:rsidR="00231AEE">
              <w:rPr>
                <w:rFonts w:asciiTheme="majorHAnsi" w:hAnsiTheme="majorHAnsi" w:cstheme="majorHAnsi"/>
                <w:webHidden/>
                <w:sz w:val="28"/>
                <w:szCs w:val="28"/>
              </w:rPr>
              <w:t>4</w:t>
            </w:r>
            <w:r w:rsidRPr="00145D21">
              <w:rPr>
                <w:rFonts w:asciiTheme="majorHAnsi" w:hAnsiTheme="majorHAnsi" w:cstheme="majorHAnsi"/>
                <w:webHidden/>
                <w:sz w:val="28"/>
                <w:szCs w:val="28"/>
              </w:rPr>
              <w:fldChar w:fldCharType="end"/>
            </w:r>
          </w:hyperlink>
        </w:p>
        <w:p w14:paraId="1A225C80" w14:textId="11B5DA3E"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77" w:history="1">
            <w:r w:rsidRPr="00145D21">
              <w:rPr>
                <w:rStyle w:val="Hyperlink"/>
                <w:rFonts w:asciiTheme="majorHAnsi" w:hAnsiTheme="majorHAnsi" w:cstheme="majorHAnsi"/>
                <w:i/>
                <w:iCs/>
                <w:sz w:val="28"/>
                <w:szCs w:val="28"/>
              </w:rPr>
              <w:t xml:space="preserve">2.1. </w:t>
            </w:r>
            <w:r w:rsidRPr="00145D21">
              <w:rPr>
                <w:rStyle w:val="Hyperlink"/>
                <w:rFonts w:asciiTheme="majorHAnsi" w:hAnsiTheme="majorHAnsi" w:cstheme="majorHAnsi"/>
                <w:i/>
                <w:iCs/>
                <w:sz w:val="28"/>
                <w:szCs w:val="28"/>
                <w:lang w:val="vi-VN"/>
              </w:rPr>
              <w:t xml:space="preserve">Definition of </w:t>
            </w:r>
            <w:r w:rsidRPr="00145D21">
              <w:rPr>
                <w:rStyle w:val="Hyperlink"/>
                <w:rFonts w:asciiTheme="majorHAnsi" w:hAnsiTheme="majorHAnsi" w:cstheme="majorHAnsi"/>
                <w:i/>
                <w:iCs/>
                <w:sz w:val="28"/>
                <w:szCs w:val="28"/>
              </w:rPr>
              <w:t>educational</w:t>
            </w:r>
            <w:r w:rsidRPr="00145D21">
              <w:rPr>
                <w:rStyle w:val="Hyperlink"/>
                <w:rFonts w:asciiTheme="majorHAnsi" w:hAnsiTheme="majorHAnsi" w:cstheme="majorHAnsi"/>
                <w:i/>
                <w:iCs/>
                <w:sz w:val="28"/>
                <w:szCs w:val="28"/>
                <w:lang w:val="vi-VN"/>
              </w:rPr>
              <w:t xml:space="preserve"> AI apps</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_Toc200704577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4</w:t>
            </w:r>
            <w:r w:rsidRPr="00145D21">
              <w:rPr>
                <w:rFonts w:asciiTheme="majorHAnsi" w:hAnsiTheme="majorHAnsi" w:cstheme="majorHAnsi"/>
                <w:i/>
                <w:iCs/>
                <w:webHidden/>
                <w:sz w:val="28"/>
                <w:szCs w:val="28"/>
              </w:rPr>
              <w:fldChar w:fldCharType="end"/>
            </w:r>
          </w:hyperlink>
        </w:p>
        <w:p w14:paraId="33434C7A" w14:textId="03DD342B"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78" w:history="1">
            <w:r w:rsidRPr="00145D21">
              <w:rPr>
                <w:rStyle w:val="Hyperlink"/>
                <w:rFonts w:asciiTheme="majorHAnsi" w:hAnsiTheme="majorHAnsi" w:cstheme="majorHAnsi"/>
                <w:i/>
                <w:iCs/>
                <w:sz w:val="28"/>
                <w:szCs w:val="28"/>
              </w:rPr>
              <w:t xml:space="preserve">2.2. </w:t>
            </w:r>
            <w:r w:rsidRPr="00145D21">
              <w:rPr>
                <w:rStyle w:val="Hyperlink"/>
                <w:rFonts w:asciiTheme="majorHAnsi" w:hAnsiTheme="majorHAnsi" w:cstheme="majorHAnsi"/>
                <w:i/>
                <w:iCs/>
                <w:sz w:val="28"/>
                <w:szCs w:val="28"/>
                <w:lang w:val="vi-VN"/>
              </w:rPr>
              <w:t xml:space="preserve">Current application of educational AI </w:t>
            </w:r>
            <w:r w:rsidRPr="00145D21">
              <w:rPr>
                <w:rStyle w:val="Hyperlink"/>
                <w:rFonts w:asciiTheme="majorHAnsi" w:hAnsiTheme="majorHAnsi" w:cstheme="majorHAnsi"/>
                <w:i/>
                <w:iCs/>
                <w:sz w:val="28"/>
                <w:szCs w:val="28"/>
              </w:rPr>
              <w:t>apps</w:t>
            </w:r>
            <w:r w:rsidRPr="00145D21">
              <w:rPr>
                <w:rStyle w:val="Hyperlink"/>
                <w:rFonts w:asciiTheme="majorHAnsi" w:hAnsiTheme="majorHAnsi" w:cstheme="majorHAnsi"/>
                <w:i/>
                <w:iCs/>
                <w:sz w:val="28"/>
                <w:szCs w:val="28"/>
                <w:lang w:val="vi-VN"/>
              </w:rPr>
              <w:t xml:space="preserve"> in teaching listening.</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_Toc200704578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4</w:t>
            </w:r>
            <w:r w:rsidRPr="00145D21">
              <w:rPr>
                <w:rFonts w:asciiTheme="majorHAnsi" w:hAnsiTheme="majorHAnsi" w:cstheme="majorHAnsi"/>
                <w:i/>
                <w:iCs/>
                <w:webHidden/>
                <w:sz w:val="28"/>
                <w:szCs w:val="28"/>
              </w:rPr>
              <w:fldChar w:fldCharType="end"/>
            </w:r>
          </w:hyperlink>
        </w:p>
        <w:p w14:paraId="37D9C414" w14:textId="6E975E9A" w:rsidR="00F866DC" w:rsidRPr="00145D21" w:rsidRDefault="00F866DC" w:rsidP="00DF609C">
          <w:pPr>
            <w:pStyle w:val="TOC1"/>
            <w:tabs>
              <w:tab w:val="right" w:leader="dot" w:pos="9016"/>
            </w:tabs>
            <w:ind w:firstLine="284"/>
            <w:rPr>
              <w:rFonts w:asciiTheme="majorHAnsi" w:hAnsiTheme="majorHAnsi" w:cstheme="majorHAnsi"/>
              <w:sz w:val="28"/>
              <w:szCs w:val="28"/>
              <w:lang w:eastAsia="en-US"/>
            </w:rPr>
          </w:pPr>
          <w:hyperlink w:anchor="_Toc200704579" w:history="1">
            <w:r w:rsidRPr="00145D21">
              <w:rPr>
                <w:rStyle w:val="Hyperlink"/>
                <w:rFonts w:asciiTheme="majorHAnsi" w:hAnsiTheme="majorHAnsi" w:cstheme="majorHAnsi"/>
                <w:b/>
                <w:bCs/>
                <w:sz w:val="28"/>
                <w:szCs w:val="28"/>
              </w:rPr>
              <w:t>CHAPTER III: METHODOLOGY</w:t>
            </w:r>
            <w:r w:rsidRPr="00145D21">
              <w:rPr>
                <w:rFonts w:asciiTheme="majorHAnsi" w:hAnsiTheme="majorHAnsi" w:cstheme="majorHAnsi"/>
                <w:webHidden/>
                <w:sz w:val="28"/>
                <w:szCs w:val="28"/>
              </w:rPr>
              <w:tab/>
            </w:r>
            <w:r w:rsidRPr="00145D21">
              <w:rPr>
                <w:rFonts w:asciiTheme="majorHAnsi" w:hAnsiTheme="majorHAnsi" w:cstheme="majorHAnsi"/>
                <w:webHidden/>
                <w:sz w:val="28"/>
                <w:szCs w:val="28"/>
              </w:rPr>
              <w:fldChar w:fldCharType="begin"/>
            </w:r>
            <w:r w:rsidRPr="00145D21">
              <w:rPr>
                <w:rFonts w:asciiTheme="majorHAnsi" w:hAnsiTheme="majorHAnsi" w:cstheme="majorHAnsi"/>
                <w:webHidden/>
                <w:sz w:val="28"/>
                <w:szCs w:val="28"/>
              </w:rPr>
              <w:instrText xml:space="preserve"> PAGEREF _Toc200704579 \h </w:instrText>
            </w:r>
            <w:r w:rsidRPr="00145D21">
              <w:rPr>
                <w:rFonts w:asciiTheme="majorHAnsi" w:hAnsiTheme="majorHAnsi" w:cstheme="majorHAnsi"/>
                <w:webHidden/>
                <w:sz w:val="28"/>
                <w:szCs w:val="28"/>
              </w:rPr>
            </w:r>
            <w:r w:rsidRPr="00145D21">
              <w:rPr>
                <w:rFonts w:asciiTheme="majorHAnsi" w:hAnsiTheme="majorHAnsi" w:cstheme="majorHAnsi"/>
                <w:webHidden/>
                <w:sz w:val="28"/>
                <w:szCs w:val="28"/>
              </w:rPr>
              <w:fldChar w:fldCharType="separate"/>
            </w:r>
            <w:r w:rsidR="00231AEE">
              <w:rPr>
                <w:rFonts w:asciiTheme="majorHAnsi" w:hAnsiTheme="majorHAnsi" w:cstheme="majorHAnsi"/>
                <w:webHidden/>
                <w:sz w:val="28"/>
                <w:szCs w:val="28"/>
              </w:rPr>
              <w:t>7</w:t>
            </w:r>
            <w:r w:rsidRPr="00145D21">
              <w:rPr>
                <w:rFonts w:asciiTheme="majorHAnsi" w:hAnsiTheme="majorHAnsi" w:cstheme="majorHAnsi"/>
                <w:webHidden/>
                <w:sz w:val="28"/>
                <w:szCs w:val="28"/>
              </w:rPr>
              <w:fldChar w:fldCharType="end"/>
            </w:r>
          </w:hyperlink>
        </w:p>
        <w:p w14:paraId="3844125A" w14:textId="08030563"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0" w:history="1">
            <w:r w:rsidRPr="00145D21">
              <w:rPr>
                <w:rStyle w:val="Hyperlink"/>
                <w:rFonts w:asciiTheme="majorHAnsi" w:hAnsiTheme="majorHAnsi" w:cstheme="majorHAnsi"/>
                <w:i/>
                <w:iCs/>
                <w:sz w:val="28"/>
                <w:szCs w:val="28"/>
              </w:rPr>
              <w:t>3.1. Measurement Scale</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_Toc200704580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7</w:t>
            </w:r>
            <w:r w:rsidRPr="00145D21">
              <w:rPr>
                <w:rFonts w:asciiTheme="majorHAnsi" w:hAnsiTheme="majorHAnsi" w:cstheme="majorHAnsi"/>
                <w:i/>
                <w:iCs/>
                <w:webHidden/>
                <w:sz w:val="28"/>
                <w:szCs w:val="28"/>
              </w:rPr>
              <w:fldChar w:fldCharType="end"/>
            </w:r>
          </w:hyperlink>
        </w:p>
        <w:p w14:paraId="2680CD6E" w14:textId="4BAC8567"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1" w:history="1">
            <w:r w:rsidRPr="00145D21">
              <w:rPr>
                <w:rStyle w:val="Hyperlink"/>
                <w:rFonts w:asciiTheme="majorHAnsi" w:hAnsiTheme="majorHAnsi" w:cstheme="majorHAnsi"/>
                <w:i/>
                <w:iCs/>
                <w:sz w:val="28"/>
                <w:szCs w:val="28"/>
              </w:rPr>
              <w:t>3.2. Research Design</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_Toc200704581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7</w:t>
            </w:r>
            <w:r w:rsidRPr="00145D21">
              <w:rPr>
                <w:rFonts w:asciiTheme="majorHAnsi" w:hAnsiTheme="majorHAnsi" w:cstheme="majorHAnsi"/>
                <w:i/>
                <w:iCs/>
                <w:webHidden/>
                <w:sz w:val="28"/>
                <w:szCs w:val="28"/>
              </w:rPr>
              <w:fldChar w:fldCharType="end"/>
            </w:r>
          </w:hyperlink>
        </w:p>
        <w:p w14:paraId="3655BA6C" w14:textId="2A6B6C90"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2" w:history="1">
            <w:r w:rsidRPr="00145D21">
              <w:rPr>
                <w:rStyle w:val="Hyperlink"/>
                <w:rFonts w:asciiTheme="majorHAnsi" w:hAnsiTheme="majorHAnsi" w:cstheme="majorHAnsi"/>
                <w:i/>
                <w:iCs/>
                <w:sz w:val="28"/>
                <w:szCs w:val="28"/>
              </w:rPr>
              <w:t>3.3. Data Collection</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_Toc200704582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7</w:t>
            </w:r>
            <w:r w:rsidRPr="00145D21">
              <w:rPr>
                <w:rFonts w:asciiTheme="majorHAnsi" w:hAnsiTheme="majorHAnsi" w:cstheme="majorHAnsi"/>
                <w:i/>
                <w:iCs/>
                <w:webHidden/>
                <w:sz w:val="28"/>
                <w:szCs w:val="28"/>
              </w:rPr>
              <w:fldChar w:fldCharType="end"/>
            </w:r>
          </w:hyperlink>
        </w:p>
        <w:p w14:paraId="11DD8353" w14:textId="4463E72F"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3" w:history="1">
            <w:r w:rsidRPr="00145D21">
              <w:rPr>
                <w:rStyle w:val="Hyperlink"/>
                <w:rFonts w:asciiTheme="majorHAnsi" w:hAnsiTheme="majorHAnsi" w:cstheme="majorHAnsi"/>
                <w:i/>
                <w:iCs/>
                <w:sz w:val="28"/>
                <w:szCs w:val="28"/>
              </w:rPr>
              <w:t>3.4. Data Analysis</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_Toc200704583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7</w:t>
            </w:r>
            <w:r w:rsidRPr="00145D21">
              <w:rPr>
                <w:rFonts w:asciiTheme="majorHAnsi" w:hAnsiTheme="majorHAnsi" w:cstheme="majorHAnsi"/>
                <w:i/>
                <w:iCs/>
                <w:webHidden/>
                <w:sz w:val="28"/>
                <w:szCs w:val="28"/>
              </w:rPr>
              <w:fldChar w:fldCharType="end"/>
            </w:r>
          </w:hyperlink>
        </w:p>
        <w:p w14:paraId="7A03C291" w14:textId="32F50D67"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4" w:history="1">
            <w:r w:rsidRPr="00145D21">
              <w:rPr>
                <w:rStyle w:val="Hyperlink"/>
                <w:rFonts w:asciiTheme="majorHAnsi" w:hAnsiTheme="majorHAnsi" w:cstheme="majorHAnsi"/>
                <w:i/>
                <w:iCs/>
                <w:sz w:val="28"/>
                <w:szCs w:val="28"/>
              </w:rPr>
              <w:t>3.5. Ethical Considerations</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_Toc200704584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8</w:t>
            </w:r>
            <w:r w:rsidRPr="00145D21">
              <w:rPr>
                <w:rFonts w:asciiTheme="majorHAnsi" w:hAnsiTheme="majorHAnsi" w:cstheme="majorHAnsi"/>
                <w:i/>
                <w:iCs/>
                <w:webHidden/>
                <w:sz w:val="28"/>
                <w:szCs w:val="28"/>
              </w:rPr>
              <w:fldChar w:fldCharType="end"/>
            </w:r>
          </w:hyperlink>
        </w:p>
        <w:p w14:paraId="7D4C3673" w14:textId="47DA2826" w:rsidR="00F866DC" w:rsidRPr="00145D21" w:rsidRDefault="00F866DC" w:rsidP="00DF609C">
          <w:pPr>
            <w:pStyle w:val="TOC1"/>
            <w:tabs>
              <w:tab w:val="right" w:leader="dot" w:pos="9016"/>
            </w:tabs>
            <w:ind w:firstLine="284"/>
            <w:rPr>
              <w:rFonts w:asciiTheme="majorHAnsi" w:hAnsiTheme="majorHAnsi" w:cstheme="majorHAnsi"/>
              <w:sz w:val="28"/>
              <w:szCs w:val="28"/>
              <w:lang w:eastAsia="en-US"/>
            </w:rPr>
          </w:pPr>
          <w:hyperlink w:anchor="_Toc200704585" w:history="1">
            <w:r w:rsidRPr="00145D21">
              <w:rPr>
                <w:rStyle w:val="Hyperlink"/>
                <w:rFonts w:asciiTheme="majorHAnsi" w:hAnsiTheme="majorHAnsi" w:cstheme="majorHAnsi"/>
                <w:b/>
                <w:bCs/>
                <w:sz w:val="28"/>
                <w:szCs w:val="28"/>
              </w:rPr>
              <w:t>CHAPTER IV: RESULTS AND DISCUSSION</w:t>
            </w:r>
            <w:r w:rsidRPr="00145D21">
              <w:rPr>
                <w:rFonts w:asciiTheme="majorHAnsi" w:hAnsiTheme="majorHAnsi" w:cstheme="majorHAnsi"/>
                <w:webHidden/>
                <w:sz w:val="28"/>
                <w:szCs w:val="28"/>
              </w:rPr>
              <w:tab/>
            </w:r>
            <w:r w:rsidRPr="00145D21">
              <w:rPr>
                <w:rFonts w:asciiTheme="majorHAnsi" w:hAnsiTheme="majorHAnsi" w:cstheme="majorHAnsi"/>
                <w:webHidden/>
                <w:sz w:val="28"/>
                <w:szCs w:val="28"/>
              </w:rPr>
              <w:fldChar w:fldCharType="begin"/>
            </w:r>
            <w:r w:rsidRPr="00145D21">
              <w:rPr>
                <w:rFonts w:asciiTheme="majorHAnsi" w:hAnsiTheme="majorHAnsi" w:cstheme="majorHAnsi"/>
                <w:webHidden/>
                <w:sz w:val="28"/>
                <w:szCs w:val="28"/>
              </w:rPr>
              <w:instrText xml:space="preserve"> PAGEREF _Toc200704585 \h </w:instrText>
            </w:r>
            <w:r w:rsidRPr="00145D21">
              <w:rPr>
                <w:rFonts w:asciiTheme="majorHAnsi" w:hAnsiTheme="majorHAnsi" w:cstheme="majorHAnsi"/>
                <w:webHidden/>
                <w:sz w:val="28"/>
                <w:szCs w:val="28"/>
              </w:rPr>
            </w:r>
            <w:r w:rsidRPr="00145D21">
              <w:rPr>
                <w:rFonts w:asciiTheme="majorHAnsi" w:hAnsiTheme="majorHAnsi" w:cstheme="majorHAnsi"/>
                <w:webHidden/>
                <w:sz w:val="28"/>
                <w:szCs w:val="28"/>
              </w:rPr>
              <w:fldChar w:fldCharType="separate"/>
            </w:r>
            <w:r w:rsidR="00231AEE">
              <w:rPr>
                <w:rFonts w:asciiTheme="majorHAnsi" w:hAnsiTheme="majorHAnsi" w:cstheme="majorHAnsi"/>
                <w:webHidden/>
                <w:sz w:val="28"/>
                <w:szCs w:val="28"/>
              </w:rPr>
              <w:t>9</w:t>
            </w:r>
            <w:r w:rsidRPr="00145D21">
              <w:rPr>
                <w:rFonts w:asciiTheme="majorHAnsi" w:hAnsiTheme="majorHAnsi" w:cstheme="majorHAnsi"/>
                <w:webHidden/>
                <w:sz w:val="28"/>
                <w:szCs w:val="28"/>
              </w:rPr>
              <w:fldChar w:fldCharType="end"/>
            </w:r>
          </w:hyperlink>
        </w:p>
        <w:p w14:paraId="6FD1CAB1" w14:textId="01F102A7"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6" w:history="1">
            <w:r w:rsidRPr="00145D21">
              <w:rPr>
                <w:rStyle w:val="Hyperlink"/>
                <w:rFonts w:asciiTheme="majorHAnsi" w:hAnsiTheme="majorHAnsi" w:cstheme="majorHAnsi"/>
                <w:i/>
                <w:iCs/>
                <w:sz w:val="28"/>
                <w:szCs w:val="28"/>
              </w:rPr>
              <w:t>4.1. Results</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_Toc200704586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9</w:t>
            </w:r>
            <w:r w:rsidRPr="00145D21">
              <w:rPr>
                <w:rFonts w:asciiTheme="majorHAnsi" w:hAnsiTheme="majorHAnsi" w:cstheme="majorHAnsi"/>
                <w:i/>
                <w:iCs/>
                <w:webHidden/>
                <w:sz w:val="28"/>
                <w:szCs w:val="28"/>
              </w:rPr>
              <w:fldChar w:fldCharType="end"/>
            </w:r>
          </w:hyperlink>
        </w:p>
        <w:p w14:paraId="5E59DE50" w14:textId="05DDACB0"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7" w:history="1">
            <w:r w:rsidRPr="00145D21">
              <w:rPr>
                <w:rStyle w:val="Hyperlink"/>
                <w:rFonts w:asciiTheme="majorHAnsi" w:hAnsiTheme="majorHAnsi" w:cstheme="majorHAnsi"/>
                <w:i/>
                <w:iCs/>
                <w:sz w:val="28"/>
                <w:szCs w:val="28"/>
              </w:rPr>
              <w:t>4.2. Discussion</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_Toc200704587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11</w:t>
            </w:r>
            <w:r w:rsidRPr="00145D21">
              <w:rPr>
                <w:rFonts w:asciiTheme="majorHAnsi" w:hAnsiTheme="majorHAnsi" w:cstheme="majorHAnsi"/>
                <w:i/>
                <w:iCs/>
                <w:webHidden/>
                <w:sz w:val="28"/>
                <w:szCs w:val="28"/>
              </w:rPr>
              <w:fldChar w:fldCharType="end"/>
            </w:r>
          </w:hyperlink>
        </w:p>
        <w:p w14:paraId="38B28033" w14:textId="59F260A8" w:rsidR="00F866DC" w:rsidRPr="00145D21" w:rsidRDefault="00F866DC" w:rsidP="00DF609C">
          <w:pPr>
            <w:pStyle w:val="TOC1"/>
            <w:tabs>
              <w:tab w:val="right" w:leader="dot" w:pos="9016"/>
            </w:tabs>
            <w:ind w:firstLine="284"/>
            <w:rPr>
              <w:rFonts w:asciiTheme="majorHAnsi" w:hAnsiTheme="majorHAnsi" w:cstheme="majorHAnsi"/>
              <w:sz w:val="28"/>
              <w:szCs w:val="28"/>
              <w:lang w:eastAsia="en-US"/>
            </w:rPr>
          </w:pPr>
          <w:hyperlink w:anchor="_Toc200704588" w:history="1">
            <w:r w:rsidRPr="00145D21">
              <w:rPr>
                <w:rStyle w:val="Hyperlink"/>
                <w:rFonts w:asciiTheme="majorHAnsi" w:hAnsiTheme="majorHAnsi" w:cstheme="majorHAnsi"/>
                <w:b/>
                <w:bCs/>
                <w:sz w:val="28"/>
                <w:szCs w:val="28"/>
              </w:rPr>
              <w:t>CHAPTER V. CONCLUSION</w:t>
            </w:r>
            <w:r w:rsidRPr="00145D21">
              <w:rPr>
                <w:rFonts w:asciiTheme="majorHAnsi" w:hAnsiTheme="majorHAnsi" w:cstheme="majorHAnsi"/>
                <w:webHidden/>
                <w:sz w:val="28"/>
                <w:szCs w:val="28"/>
              </w:rPr>
              <w:tab/>
            </w:r>
            <w:r w:rsidRPr="00145D21">
              <w:rPr>
                <w:rFonts w:asciiTheme="majorHAnsi" w:hAnsiTheme="majorHAnsi" w:cstheme="majorHAnsi"/>
                <w:webHidden/>
                <w:sz w:val="28"/>
                <w:szCs w:val="28"/>
              </w:rPr>
              <w:fldChar w:fldCharType="begin"/>
            </w:r>
            <w:r w:rsidRPr="00145D21">
              <w:rPr>
                <w:rFonts w:asciiTheme="majorHAnsi" w:hAnsiTheme="majorHAnsi" w:cstheme="majorHAnsi"/>
                <w:webHidden/>
                <w:sz w:val="28"/>
                <w:szCs w:val="28"/>
              </w:rPr>
              <w:instrText xml:space="preserve"> PAGEREF _Toc200704588 \h </w:instrText>
            </w:r>
            <w:r w:rsidRPr="00145D21">
              <w:rPr>
                <w:rFonts w:asciiTheme="majorHAnsi" w:hAnsiTheme="majorHAnsi" w:cstheme="majorHAnsi"/>
                <w:webHidden/>
                <w:sz w:val="28"/>
                <w:szCs w:val="28"/>
              </w:rPr>
            </w:r>
            <w:r w:rsidRPr="00145D21">
              <w:rPr>
                <w:rFonts w:asciiTheme="majorHAnsi" w:hAnsiTheme="majorHAnsi" w:cstheme="majorHAnsi"/>
                <w:webHidden/>
                <w:sz w:val="28"/>
                <w:szCs w:val="28"/>
              </w:rPr>
              <w:fldChar w:fldCharType="separate"/>
            </w:r>
            <w:r w:rsidR="00231AEE">
              <w:rPr>
                <w:rFonts w:asciiTheme="majorHAnsi" w:hAnsiTheme="majorHAnsi" w:cstheme="majorHAnsi"/>
                <w:webHidden/>
                <w:sz w:val="28"/>
                <w:szCs w:val="28"/>
              </w:rPr>
              <w:t>15</w:t>
            </w:r>
            <w:r w:rsidRPr="00145D21">
              <w:rPr>
                <w:rFonts w:asciiTheme="majorHAnsi" w:hAnsiTheme="majorHAnsi" w:cstheme="majorHAnsi"/>
                <w:webHidden/>
                <w:sz w:val="28"/>
                <w:szCs w:val="28"/>
              </w:rPr>
              <w:fldChar w:fldCharType="end"/>
            </w:r>
          </w:hyperlink>
        </w:p>
        <w:p w14:paraId="32ECF5E7" w14:textId="4DED20BA"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89" w:history="1">
            <w:r w:rsidRPr="00145D21">
              <w:rPr>
                <w:rStyle w:val="Hyperlink"/>
                <w:rFonts w:asciiTheme="majorHAnsi" w:hAnsiTheme="majorHAnsi" w:cstheme="majorHAnsi"/>
                <w:i/>
                <w:iCs/>
                <w:sz w:val="28"/>
                <w:szCs w:val="28"/>
                <w:u w:val="none"/>
              </w:rPr>
              <w:t>5.1. Theoretical Implications</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_Toc200704589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15</w:t>
            </w:r>
            <w:r w:rsidRPr="00145D21">
              <w:rPr>
                <w:rFonts w:asciiTheme="majorHAnsi" w:hAnsiTheme="majorHAnsi" w:cstheme="majorHAnsi"/>
                <w:i/>
                <w:iCs/>
                <w:webHidden/>
                <w:sz w:val="28"/>
                <w:szCs w:val="28"/>
              </w:rPr>
              <w:fldChar w:fldCharType="end"/>
            </w:r>
          </w:hyperlink>
        </w:p>
        <w:p w14:paraId="47A25C6F" w14:textId="228B1592"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90" w:history="1">
            <w:r w:rsidRPr="00145D21">
              <w:rPr>
                <w:rStyle w:val="Hyperlink"/>
                <w:rFonts w:asciiTheme="majorHAnsi" w:hAnsiTheme="majorHAnsi" w:cstheme="majorHAnsi"/>
                <w:i/>
                <w:iCs/>
                <w:sz w:val="28"/>
                <w:szCs w:val="28"/>
                <w:u w:val="none"/>
              </w:rPr>
              <w:t>5.2. Practical Implications</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_Toc200704590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15</w:t>
            </w:r>
            <w:r w:rsidRPr="00145D21">
              <w:rPr>
                <w:rFonts w:asciiTheme="majorHAnsi" w:hAnsiTheme="majorHAnsi" w:cstheme="majorHAnsi"/>
                <w:i/>
                <w:iCs/>
                <w:webHidden/>
                <w:sz w:val="28"/>
                <w:szCs w:val="28"/>
              </w:rPr>
              <w:fldChar w:fldCharType="end"/>
            </w:r>
          </w:hyperlink>
        </w:p>
        <w:p w14:paraId="3AC0ED09" w14:textId="149B9541" w:rsidR="00F866DC" w:rsidRPr="00145D21" w:rsidRDefault="00F866DC" w:rsidP="00DF609C">
          <w:pPr>
            <w:pStyle w:val="TOC2"/>
            <w:tabs>
              <w:tab w:val="right" w:leader="dot" w:pos="9016"/>
            </w:tabs>
            <w:ind w:firstLine="284"/>
            <w:rPr>
              <w:rFonts w:asciiTheme="majorHAnsi" w:hAnsiTheme="majorHAnsi" w:cstheme="majorHAnsi"/>
              <w:i/>
              <w:iCs/>
              <w:sz w:val="28"/>
              <w:szCs w:val="28"/>
              <w:lang w:eastAsia="en-US"/>
            </w:rPr>
          </w:pPr>
          <w:hyperlink w:anchor="_Toc200704591" w:history="1">
            <w:r w:rsidRPr="00145D21">
              <w:rPr>
                <w:rStyle w:val="Hyperlink"/>
                <w:rFonts w:asciiTheme="majorHAnsi" w:hAnsiTheme="majorHAnsi" w:cstheme="majorHAnsi"/>
                <w:i/>
                <w:iCs/>
                <w:sz w:val="28"/>
                <w:szCs w:val="28"/>
                <w:u w:val="none"/>
              </w:rPr>
              <w:t>5.3. Limitations and Future Research</w:t>
            </w:r>
            <w:r w:rsidRPr="00145D21">
              <w:rPr>
                <w:rFonts w:asciiTheme="majorHAnsi" w:hAnsiTheme="majorHAnsi" w:cstheme="majorHAnsi"/>
                <w:i/>
                <w:iCs/>
                <w:webHidden/>
                <w:sz w:val="28"/>
                <w:szCs w:val="28"/>
              </w:rPr>
              <w:tab/>
            </w:r>
            <w:r w:rsidRPr="00145D21">
              <w:rPr>
                <w:rFonts w:asciiTheme="majorHAnsi" w:hAnsiTheme="majorHAnsi" w:cstheme="majorHAnsi"/>
                <w:i/>
                <w:iCs/>
                <w:webHidden/>
                <w:sz w:val="28"/>
                <w:szCs w:val="28"/>
              </w:rPr>
              <w:fldChar w:fldCharType="begin"/>
            </w:r>
            <w:r w:rsidRPr="00145D21">
              <w:rPr>
                <w:rFonts w:asciiTheme="majorHAnsi" w:hAnsiTheme="majorHAnsi" w:cstheme="majorHAnsi"/>
                <w:i/>
                <w:iCs/>
                <w:webHidden/>
                <w:sz w:val="28"/>
                <w:szCs w:val="28"/>
              </w:rPr>
              <w:instrText xml:space="preserve"> PAGEREF _Toc200704591 \h </w:instrText>
            </w:r>
            <w:r w:rsidRPr="00145D21">
              <w:rPr>
                <w:rFonts w:asciiTheme="majorHAnsi" w:hAnsiTheme="majorHAnsi" w:cstheme="majorHAnsi"/>
                <w:i/>
                <w:iCs/>
                <w:webHidden/>
                <w:sz w:val="28"/>
                <w:szCs w:val="28"/>
              </w:rPr>
            </w:r>
            <w:r w:rsidRPr="00145D21">
              <w:rPr>
                <w:rFonts w:asciiTheme="majorHAnsi" w:hAnsiTheme="majorHAnsi" w:cstheme="majorHAnsi"/>
                <w:i/>
                <w:iCs/>
                <w:webHidden/>
                <w:sz w:val="28"/>
                <w:szCs w:val="28"/>
              </w:rPr>
              <w:fldChar w:fldCharType="separate"/>
            </w:r>
            <w:r w:rsidR="00231AEE">
              <w:rPr>
                <w:rFonts w:asciiTheme="majorHAnsi" w:hAnsiTheme="majorHAnsi" w:cstheme="majorHAnsi"/>
                <w:i/>
                <w:iCs/>
                <w:webHidden/>
                <w:sz w:val="28"/>
                <w:szCs w:val="28"/>
              </w:rPr>
              <w:t>16</w:t>
            </w:r>
            <w:r w:rsidRPr="00145D21">
              <w:rPr>
                <w:rFonts w:asciiTheme="majorHAnsi" w:hAnsiTheme="majorHAnsi" w:cstheme="majorHAnsi"/>
                <w:i/>
                <w:iCs/>
                <w:webHidden/>
                <w:sz w:val="28"/>
                <w:szCs w:val="28"/>
              </w:rPr>
              <w:fldChar w:fldCharType="end"/>
            </w:r>
          </w:hyperlink>
        </w:p>
        <w:p w14:paraId="16523C87" w14:textId="7CD2F1C6" w:rsidR="00F866DC" w:rsidRPr="00145D21" w:rsidRDefault="00F866DC" w:rsidP="00DF609C">
          <w:pPr>
            <w:pStyle w:val="TOC1"/>
            <w:tabs>
              <w:tab w:val="right" w:leader="dot" w:pos="9016"/>
            </w:tabs>
            <w:ind w:firstLine="284"/>
            <w:rPr>
              <w:rFonts w:asciiTheme="majorHAnsi" w:hAnsiTheme="majorHAnsi" w:cstheme="majorHAnsi"/>
              <w:sz w:val="28"/>
              <w:szCs w:val="28"/>
              <w:lang w:eastAsia="en-US"/>
            </w:rPr>
          </w:pPr>
          <w:hyperlink w:anchor="_Toc200704592" w:history="1">
            <w:r w:rsidRPr="00145D21">
              <w:rPr>
                <w:rStyle w:val="Hyperlink"/>
                <w:rFonts w:asciiTheme="majorHAnsi" w:hAnsiTheme="majorHAnsi" w:cstheme="majorHAnsi"/>
                <w:b/>
                <w:bCs/>
                <w:sz w:val="28"/>
                <w:szCs w:val="28"/>
              </w:rPr>
              <w:t>REFERENCES</w:t>
            </w:r>
            <w:r w:rsidRPr="00145D21">
              <w:rPr>
                <w:rFonts w:asciiTheme="majorHAnsi" w:hAnsiTheme="majorHAnsi" w:cstheme="majorHAnsi"/>
                <w:webHidden/>
                <w:sz w:val="28"/>
                <w:szCs w:val="28"/>
              </w:rPr>
              <w:tab/>
            </w:r>
            <w:r w:rsidRPr="00145D21">
              <w:rPr>
                <w:rFonts w:asciiTheme="majorHAnsi" w:hAnsiTheme="majorHAnsi" w:cstheme="majorHAnsi"/>
                <w:webHidden/>
                <w:sz w:val="28"/>
                <w:szCs w:val="28"/>
              </w:rPr>
              <w:fldChar w:fldCharType="begin"/>
            </w:r>
            <w:r w:rsidRPr="00145D21">
              <w:rPr>
                <w:rFonts w:asciiTheme="majorHAnsi" w:hAnsiTheme="majorHAnsi" w:cstheme="majorHAnsi"/>
                <w:webHidden/>
                <w:sz w:val="28"/>
                <w:szCs w:val="28"/>
              </w:rPr>
              <w:instrText xml:space="preserve"> PAGEREF _Toc200704592 \h </w:instrText>
            </w:r>
            <w:r w:rsidRPr="00145D21">
              <w:rPr>
                <w:rFonts w:asciiTheme="majorHAnsi" w:hAnsiTheme="majorHAnsi" w:cstheme="majorHAnsi"/>
                <w:webHidden/>
                <w:sz w:val="28"/>
                <w:szCs w:val="28"/>
              </w:rPr>
            </w:r>
            <w:r w:rsidRPr="00145D21">
              <w:rPr>
                <w:rFonts w:asciiTheme="majorHAnsi" w:hAnsiTheme="majorHAnsi" w:cstheme="majorHAnsi"/>
                <w:webHidden/>
                <w:sz w:val="28"/>
                <w:szCs w:val="28"/>
              </w:rPr>
              <w:fldChar w:fldCharType="separate"/>
            </w:r>
            <w:r w:rsidR="00231AEE">
              <w:rPr>
                <w:rFonts w:asciiTheme="majorHAnsi" w:hAnsiTheme="majorHAnsi" w:cstheme="majorHAnsi"/>
                <w:webHidden/>
                <w:sz w:val="28"/>
                <w:szCs w:val="28"/>
              </w:rPr>
              <w:t>17</w:t>
            </w:r>
            <w:r w:rsidRPr="00145D21">
              <w:rPr>
                <w:rFonts w:asciiTheme="majorHAnsi" w:hAnsiTheme="majorHAnsi" w:cstheme="majorHAnsi"/>
                <w:webHidden/>
                <w:sz w:val="28"/>
                <w:szCs w:val="28"/>
              </w:rPr>
              <w:fldChar w:fldCharType="end"/>
            </w:r>
          </w:hyperlink>
        </w:p>
        <w:p w14:paraId="7122BF6B" w14:textId="65BF6691" w:rsidR="00F866DC" w:rsidRPr="00145D21" w:rsidRDefault="00F866DC" w:rsidP="00DF609C">
          <w:pPr>
            <w:ind w:firstLine="284"/>
            <w:rPr>
              <w:rFonts w:asciiTheme="majorHAnsi" w:hAnsiTheme="majorHAnsi" w:cstheme="majorHAnsi"/>
              <w:sz w:val="28"/>
              <w:szCs w:val="28"/>
            </w:rPr>
          </w:pPr>
          <w:r w:rsidRPr="00145D21">
            <w:rPr>
              <w:rFonts w:asciiTheme="majorHAnsi" w:hAnsiTheme="majorHAnsi" w:cstheme="majorHAnsi"/>
              <w:b/>
              <w:bCs/>
              <w:sz w:val="28"/>
              <w:szCs w:val="28"/>
            </w:rPr>
            <w:fldChar w:fldCharType="end"/>
          </w:r>
        </w:p>
      </w:sdtContent>
    </w:sdt>
    <w:p w14:paraId="5A46B302" w14:textId="77777777" w:rsidR="00F866DC" w:rsidRPr="00145D21" w:rsidRDefault="00F866DC" w:rsidP="00DF609C">
      <w:pPr>
        <w:ind w:firstLine="284"/>
        <w:rPr>
          <w:rFonts w:asciiTheme="majorHAnsi" w:eastAsiaTheme="majorEastAsia" w:hAnsiTheme="majorHAnsi" w:cstheme="majorHAnsi"/>
          <w:b/>
          <w:bCs/>
          <w:sz w:val="28"/>
          <w:szCs w:val="28"/>
        </w:rPr>
      </w:pPr>
      <w:bookmarkStart w:id="0" w:name="_Toc200704571"/>
      <w:r w:rsidRPr="00145D21">
        <w:rPr>
          <w:rFonts w:asciiTheme="majorHAnsi" w:hAnsiTheme="majorHAnsi" w:cstheme="majorHAnsi"/>
          <w:b/>
          <w:bCs/>
          <w:sz w:val="28"/>
          <w:szCs w:val="28"/>
        </w:rPr>
        <w:br w:type="page"/>
      </w:r>
    </w:p>
    <w:p w14:paraId="5D8A2694" w14:textId="3E1C2F13" w:rsidR="00EC0EBB" w:rsidRPr="00145D21" w:rsidRDefault="00F63FB0" w:rsidP="00DF609C">
      <w:pPr>
        <w:pStyle w:val="Heading1"/>
        <w:spacing w:line="240" w:lineRule="auto"/>
        <w:ind w:firstLine="284"/>
        <w:jc w:val="center"/>
        <w:rPr>
          <w:rFonts w:cstheme="majorHAnsi"/>
          <w:b/>
          <w:bCs/>
          <w:color w:val="auto"/>
          <w:sz w:val="28"/>
          <w:szCs w:val="28"/>
          <w:lang w:val="vi-VN"/>
        </w:rPr>
      </w:pPr>
      <w:r w:rsidRPr="00145D21">
        <w:rPr>
          <w:rFonts w:cstheme="majorHAnsi"/>
          <w:b/>
          <w:bCs/>
          <w:color w:val="auto"/>
          <w:sz w:val="28"/>
          <w:szCs w:val="28"/>
        </w:rPr>
        <w:lastRenderedPageBreak/>
        <w:t>CHAPTER I:</w:t>
      </w:r>
      <w:r w:rsidR="00EC0EBB" w:rsidRPr="00145D21">
        <w:rPr>
          <w:rFonts w:cstheme="majorHAnsi"/>
          <w:b/>
          <w:bCs/>
          <w:color w:val="auto"/>
          <w:sz w:val="28"/>
          <w:szCs w:val="28"/>
        </w:rPr>
        <w:t xml:space="preserve"> INTRODUCTION</w:t>
      </w:r>
      <w:bookmarkEnd w:id="0"/>
    </w:p>
    <w:p w14:paraId="56B975A2" w14:textId="5CE5AC63" w:rsidR="007D0516" w:rsidRPr="00145D21" w:rsidRDefault="007D0516" w:rsidP="00DF609C">
      <w:pPr>
        <w:pStyle w:val="Heading2"/>
        <w:ind w:firstLine="284"/>
        <w:rPr>
          <w:rFonts w:cstheme="majorHAnsi"/>
          <w:b/>
          <w:bCs/>
          <w:color w:val="auto"/>
          <w:sz w:val="28"/>
          <w:szCs w:val="28"/>
        </w:rPr>
      </w:pPr>
      <w:bookmarkStart w:id="1" w:name="_Toc200704572"/>
      <w:r w:rsidRPr="00145D21">
        <w:rPr>
          <w:rFonts w:cstheme="majorHAnsi"/>
          <w:b/>
          <w:bCs/>
          <w:color w:val="auto"/>
          <w:sz w:val="28"/>
          <w:szCs w:val="28"/>
        </w:rPr>
        <w:t>1.1. Rationale of the Study</w:t>
      </w:r>
      <w:bookmarkEnd w:id="1"/>
    </w:p>
    <w:p w14:paraId="23E2B6F9" w14:textId="77777777" w:rsidR="007D0516" w:rsidRPr="00145D21" w:rsidRDefault="007D051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In recent years, the rapid advancement of artificial intelligence (AI) has transformed educational practices worldwide, offering innovative tools to enhance learning experiences. In Vietnam, where technology adoption is accelerating with the 2025 rollout of 5G and government-backed EdTech initiatives, AI has emerged as a powerful ally in education, particularly for language acquisition. Gifted students, known for their advanced cognitive and linguistic abilities, increasingly engage with digital platforms not only for learning but also for entertainment, driven by Vietnam’s thriving digital culture (Suryana et al., 2020). This dual engagement highlights a growing demand for diverse, engaging learning methods that move beyond traditional, textbook-based approaches. Conventional listening exercises often fail to captivate these students, who require challenging and authentic content to sustain their motivation and intellectual curiosity (Reis, 2024). AI tools, such as Netflix, Praktika, and ELSA Speak, provide interactive, real-world language exposure, addressing this need by blending education with entertainment. This study explores how these tools can meet the evolving expectations of gifted Vietnamese students, leveraging AI’s potential to create dynamic learning environments.</w:t>
      </w:r>
    </w:p>
    <w:p w14:paraId="4B92303E" w14:textId="468A0572" w:rsidR="007D0516" w:rsidRPr="00145D21" w:rsidRDefault="007D0516" w:rsidP="00DF609C">
      <w:pPr>
        <w:pStyle w:val="Heading2"/>
        <w:ind w:firstLine="284"/>
        <w:rPr>
          <w:rFonts w:cstheme="majorHAnsi"/>
          <w:b/>
          <w:bCs/>
          <w:color w:val="auto"/>
          <w:sz w:val="28"/>
          <w:szCs w:val="28"/>
        </w:rPr>
      </w:pPr>
      <w:bookmarkStart w:id="2" w:name="_Toc200704573"/>
      <w:r w:rsidRPr="00145D21">
        <w:rPr>
          <w:rFonts w:cstheme="majorHAnsi"/>
          <w:b/>
          <w:bCs/>
          <w:color w:val="auto"/>
          <w:sz w:val="28"/>
          <w:szCs w:val="28"/>
        </w:rPr>
        <w:t>1.2. Aims of the Study</w:t>
      </w:r>
      <w:bookmarkEnd w:id="2"/>
    </w:p>
    <w:p w14:paraId="4251A6CC" w14:textId="77777777" w:rsidR="007D0516" w:rsidRPr="00145D21" w:rsidRDefault="007D051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primary aim of this study is to harness AI technology to design engaging and innovative listening lessons for gifted students in Vietnam, thereby enhancing their English listening proficiency. By moving away from traditional pedagogical methods, which often rely on repetitive audio drills and static content, the research seeks to develop lessons that are both intellectually stimulating and culturally relevant. Tools like Praktika’s debate simulations and Newsela’s adaptive audio content offer opportunities to create tasks that foster critical listening, phonetic precision, and comprehension of authentic English, aligning with Vietnam’s 2025 educational goals of global competitiveness (Wu &amp; Annamalai, 2025). The study intends to evaluate the effectiveness of these AI applications, identifying strategies to integrate them into gifted education curricula to make learning more appealing and effective.</w:t>
      </w:r>
    </w:p>
    <w:p w14:paraId="5178A5A4" w14:textId="2414B114" w:rsidR="007D0516" w:rsidRPr="00145D21" w:rsidRDefault="007D0516" w:rsidP="00DF609C">
      <w:pPr>
        <w:pStyle w:val="Heading2"/>
        <w:ind w:firstLine="284"/>
        <w:rPr>
          <w:rFonts w:cstheme="majorHAnsi"/>
          <w:b/>
          <w:bCs/>
          <w:color w:val="auto"/>
          <w:sz w:val="28"/>
          <w:szCs w:val="28"/>
        </w:rPr>
      </w:pPr>
      <w:bookmarkStart w:id="3" w:name="_Toc200704574"/>
      <w:r w:rsidRPr="00145D21">
        <w:rPr>
          <w:rFonts w:cstheme="majorHAnsi"/>
          <w:b/>
          <w:bCs/>
          <w:color w:val="auto"/>
          <w:sz w:val="28"/>
          <w:szCs w:val="28"/>
        </w:rPr>
        <w:t>1.3. Scope of the Study</w:t>
      </w:r>
      <w:bookmarkEnd w:id="3"/>
    </w:p>
    <w:p w14:paraId="1C777400" w14:textId="77777777" w:rsidR="007D0516" w:rsidRPr="00145D21" w:rsidRDefault="007D051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This research focuses exclusively on English listening tasks, recognizing their importance in developing communicative competence among gifted students. The target population is gifted secondary and high school students in Vietnam, identified by national criteria such as high academic performance and language aptitude (Renzulli, 1978). The study examines five AI applications—Netflix, Praktika, VOA Learning English, ELSA Speak, and Newsela—selected for their engaging, interactive features and relevance to advanced learners. Conducted within Vietnam’s 2025 educational context, the research draws on 15 peer-reviewed studies from 2015 to 2025, ensuring a comprehensive analysis of these tools’ impact on listening skills in urban and rural settings.</w:t>
      </w:r>
    </w:p>
    <w:p w14:paraId="2DA9DB4C" w14:textId="50F48C14" w:rsidR="007D0516" w:rsidRPr="00145D21" w:rsidRDefault="007D0516" w:rsidP="00DF609C">
      <w:pPr>
        <w:pStyle w:val="Heading2"/>
        <w:ind w:firstLine="284"/>
        <w:rPr>
          <w:rFonts w:cstheme="majorHAnsi"/>
          <w:b/>
          <w:bCs/>
          <w:color w:val="auto"/>
          <w:sz w:val="28"/>
          <w:szCs w:val="28"/>
        </w:rPr>
      </w:pPr>
      <w:bookmarkStart w:id="4" w:name="_Toc200704575"/>
      <w:r w:rsidRPr="00145D21">
        <w:rPr>
          <w:rFonts w:cstheme="majorHAnsi"/>
          <w:b/>
          <w:bCs/>
          <w:color w:val="auto"/>
          <w:sz w:val="28"/>
          <w:szCs w:val="28"/>
        </w:rPr>
        <w:lastRenderedPageBreak/>
        <w:t>1.4. Significance of the Study</w:t>
      </w:r>
      <w:bookmarkEnd w:id="4"/>
    </w:p>
    <w:p w14:paraId="684ECE65" w14:textId="77777777" w:rsidR="007D0516" w:rsidRPr="00145D21" w:rsidRDefault="007D051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significance of this study lies in its potential to revolutionize English listening instruction for gifted students in Vietnam. By identifying effective AI tools, the research offers educators practical solutions to make teaching more engaging and efficient, addressing the needs of learners who thrive on challenge and creativity. The findings contribute to Vietnam’s goal of preparing gifted students for international academic and professional arenas, enhancing their ability to compete globally (Wu &amp; Annamalai, 2025). Furthermore, the study supports teachers in resource-constrained environments by providing time-saving, adaptable tools, fostering a more dynamic and effective learning experience for Vietnam’s future leaders.</w:t>
      </w:r>
    </w:p>
    <w:p w14:paraId="1AAAB4AD" w14:textId="77777777" w:rsidR="00EC0EBB" w:rsidRPr="00145D21" w:rsidRDefault="00EC0EBB" w:rsidP="00DF609C">
      <w:pPr>
        <w:spacing w:line="240" w:lineRule="auto"/>
        <w:ind w:firstLine="284"/>
        <w:jc w:val="both"/>
        <w:rPr>
          <w:rFonts w:asciiTheme="majorHAnsi" w:hAnsiTheme="majorHAnsi" w:cstheme="majorHAnsi"/>
          <w:sz w:val="28"/>
          <w:szCs w:val="28"/>
          <w:lang w:val="vi-VN"/>
        </w:rPr>
      </w:pPr>
    </w:p>
    <w:p w14:paraId="589923B8" w14:textId="77777777" w:rsidR="00F63FB0" w:rsidRPr="00145D21" w:rsidRDefault="00F63FB0" w:rsidP="00DF609C">
      <w:pPr>
        <w:spacing w:line="240" w:lineRule="auto"/>
        <w:ind w:firstLine="284"/>
        <w:jc w:val="both"/>
        <w:rPr>
          <w:rFonts w:asciiTheme="majorHAnsi" w:hAnsiTheme="majorHAnsi" w:cstheme="majorHAnsi"/>
          <w:sz w:val="28"/>
          <w:szCs w:val="28"/>
          <w:lang w:val="vi-VN"/>
        </w:rPr>
      </w:pPr>
      <w:r w:rsidRPr="00145D21">
        <w:rPr>
          <w:rFonts w:asciiTheme="majorHAnsi" w:hAnsiTheme="majorHAnsi" w:cstheme="majorHAnsi"/>
          <w:sz w:val="28"/>
          <w:szCs w:val="28"/>
          <w:lang w:val="vi-VN"/>
        </w:rPr>
        <w:br w:type="page"/>
      </w:r>
    </w:p>
    <w:p w14:paraId="7AF445F8" w14:textId="466C7181" w:rsidR="00EC0EBB" w:rsidRPr="00145D21" w:rsidRDefault="00884CF4" w:rsidP="00DF609C">
      <w:pPr>
        <w:pStyle w:val="Heading1"/>
        <w:spacing w:line="240" w:lineRule="auto"/>
        <w:ind w:firstLine="284"/>
        <w:jc w:val="both"/>
        <w:rPr>
          <w:rFonts w:cstheme="majorHAnsi"/>
          <w:b/>
          <w:bCs/>
          <w:color w:val="auto"/>
          <w:sz w:val="28"/>
          <w:szCs w:val="28"/>
        </w:rPr>
      </w:pPr>
      <w:bookmarkStart w:id="5" w:name="_Toc200704576"/>
      <w:r w:rsidRPr="00145D21">
        <w:rPr>
          <w:rFonts w:cstheme="majorHAnsi"/>
          <w:b/>
          <w:bCs/>
          <w:color w:val="auto"/>
          <w:sz w:val="28"/>
          <w:szCs w:val="28"/>
        </w:rPr>
        <w:lastRenderedPageBreak/>
        <w:t>CHAPTER II: LITERATURE REVIEW</w:t>
      </w:r>
      <w:bookmarkEnd w:id="5"/>
    </w:p>
    <w:p w14:paraId="44E5E82E" w14:textId="753059ED" w:rsidR="00EC0EBB" w:rsidRPr="00145D21" w:rsidRDefault="007D0516" w:rsidP="00DF609C">
      <w:pPr>
        <w:pStyle w:val="Heading2"/>
        <w:ind w:firstLine="284"/>
        <w:rPr>
          <w:rFonts w:cstheme="majorHAnsi"/>
          <w:b/>
          <w:bCs/>
          <w:color w:val="auto"/>
          <w:sz w:val="28"/>
          <w:szCs w:val="28"/>
        </w:rPr>
      </w:pPr>
      <w:bookmarkStart w:id="6" w:name="_Toc200704577"/>
      <w:r w:rsidRPr="00145D21">
        <w:rPr>
          <w:rFonts w:cstheme="majorHAnsi"/>
          <w:b/>
          <w:bCs/>
          <w:color w:val="auto"/>
          <w:sz w:val="28"/>
          <w:szCs w:val="28"/>
        </w:rPr>
        <w:t xml:space="preserve">2.1. </w:t>
      </w:r>
      <w:r w:rsidR="00EC0EBB" w:rsidRPr="00145D21">
        <w:rPr>
          <w:rFonts w:cstheme="majorHAnsi"/>
          <w:b/>
          <w:bCs/>
          <w:color w:val="auto"/>
          <w:sz w:val="28"/>
          <w:szCs w:val="28"/>
          <w:lang w:val="vi-VN"/>
        </w:rPr>
        <w:t xml:space="preserve">Definition of </w:t>
      </w:r>
      <w:r w:rsidR="00EC0EBB" w:rsidRPr="00145D21">
        <w:rPr>
          <w:rFonts w:cstheme="majorHAnsi"/>
          <w:b/>
          <w:bCs/>
          <w:color w:val="auto"/>
          <w:sz w:val="28"/>
          <w:szCs w:val="28"/>
        </w:rPr>
        <w:t>educational</w:t>
      </w:r>
      <w:r w:rsidR="00EC0EBB" w:rsidRPr="00145D21">
        <w:rPr>
          <w:rFonts w:cstheme="majorHAnsi"/>
          <w:b/>
          <w:bCs/>
          <w:color w:val="auto"/>
          <w:sz w:val="28"/>
          <w:szCs w:val="28"/>
          <w:lang w:val="vi-VN"/>
        </w:rPr>
        <w:t xml:space="preserve"> AI apps</w:t>
      </w:r>
      <w:bookmarkEnd w:id="6"/>
    </w:p>
    <w:p w14:paraId="57867133"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Educational artificial intelligence (AI) applications are sophisticated digital tools designed to enhance teaching and learning by incorporating AI technologies, such as machine learning and speech recognition. These applications enable systems to process data autonomously, emulating human cognitive functions like reasoning and adaptation (Testa, 2021). In the educational sphere, AI applications are software platforms, often accessible via mobile devices or web interfaces, that provide tailored, interactive learning experiences (Suryana et al., 2020). For language education, tools such as Praktika and Netflix offer resources to develop skills like listening and speaking through engaging, real-world contexts (Reis, 2024).</w:t>
      </w:r>
    </w:p>
    <w:p w14:paraId="71DF9338" w14:textId="3C7AA08A"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These applications distinguish themselves by their capacity to adapt to individual learner needs, a feature particularly valuable for gifted students who require advanced, differentiated instruction. By analyzing performance data, AI applications can adjust task complexity, aligning with the communicative approach, which emphasizes practical language use over rote memorization (Almeida Filho, 1998). In this study, educational AI applications are defined as tools that assist educators in crafting listening tasks by providing authentic audio resources, performance analytics, and adaptive functionalities, tailored to the heightened cognitive and linguistic demands of gifted learners (Wu &amp; Annamalai, 2025).</w:t>
      </w:r>
    </w:p>
    <w:p w14:paraId="3D403C23" w14:textId="022537C7" w:rsidR="00EC0EBB" w:rsidRPr="00145D21" w:rsidRDefault="007D0516" w:rsidP="00DF609C">
      <w:pPr>
        <w:pStyle w:val="Heading2"/>
        <w:ind w:firstLine="284"/>
        <w:rPr>
          <w:rFonts w:cstheme="majorHAnsi"/>
          <w:b/>
          <w:bCs/>
          <w:color w:val="auto"/>
          <w:sz w:val="28"/>
          <w:szCs w:val="28"/>
          <w:lang w:val="vi-VN"/>
        </w:rPr>
      </w:pPr>
      <w:bookmarkStart w:id="7" w:name="_Toc200704578"/>
      <w:r w:rsidRPr="00145D21">
        <w:rPr>
          <w:rFonts w:cstheme="majorHAnsi"/>
          <w:b/>
          <w:bCs/>
          <w:color w:val="auto"/>
          <w:sz w:val="28"/>
          <w:szCs w:val="28"/>
        </w:rPr>
        <w:t xml:space="preserve">2.2. </w:t>
      </w:r>
      <w:r w:rsidR="00EC0EBB" w:rsidRPr="00145D21">
        <w:rPr>
          <w:rFonts w:cstheme="majorHAnsi"/>
          <w:b/>
          <w:bCs/>
          <w:color w:val="auto"/>
          <w:sz w:val="28"/>
          <w:szCs w:val="28"/>
          <w:lang w:val="vi-VN"/>
        </w:rPr>
        <w:t xml:space="preserve">Current application of educational AI </w:t>
      </w:r>
      <w:r w:rsidR="00EC0EBB" w:rsidRPr="00145D21">
        <w:rPr>
          <w:rFonts w:cstheme="majorHAnsi"/>
          <w:b/>
          <w:bCs/>
          <w:color w:val="auto"/>
          <w:sz w:val="28"/>
          <w:szCs w:val="28"/>
        </w:rPr>
        <w:t>apps</w:t>
      </w:r>
      <w:r w:rsidR="00EC0EBB" w:rsidRPr="00145D21">
        <w:rPr>
          <w:rFonts w:cstheme="majorHAnsi"/>
          <w:b/>
          <w:bCs/>
          <w:color w:val="auto"/>
          <w:sz w:val="28"/>
          <w:szCs w:val="28"/>
          <w:lang w:val="vi-VN"/>
        </w:rPr>
        <w:t xml:space="preserve"> in teaching listening.</w:t>
      </w:r>
      <w:bookmarkEnd w:id="7"/>
    </w:p>
    <w:p w14:paraId="16D18336"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Listening is a fundamental yet challenging component of language acquisition, requiring real-time comprehension of spoken discourse. For gifted students, who often exhibit rapid learning and a desire for intellectual engagement, listening tasks must be authentic, stimulating, and appropriately rigorous. AI applications have emerged as valuable resources, enabling educators to design activities that meet these criteria. Recent research highlights the transformative role of applications like Netflix, Praktika, and VOA Learning English in teaching listening skills, particularly in English as a Foreign Language (EFL) contexts.</w:t>
      </w:r>
    </w:p>
    <w:p w14:paraId="7EA35FB1"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Suryana et al. (2020) found that non-English major students highly value Netflix for listening practice due to its extensive collection of films and television series, which expose learners to natural English dialogue. Engaging with content without subtitles encourages students to rely on auditory cues, fostering contextual comprehension—a skill gifted students could extend to advanced tasks, such as analyzing emotional tone or cultural nuances in conversations. Similarly, Joox Music’s English songs, accompanied by lyrics, promote autonomous learning by prompting students to research unfamiliar vocabulary, a practice that resonates with the self-directed tendencies of gifted learners (Richards, 2008). VOA Learning English provides structured audio lessons with transcripts, ideal for designing tasks that require summarizing or critiquing news reports, which can challenge gifted students’ analytical abilities (Suryana et al., 2020).</w:t>
      </w:r>
    </w:p>
    <w:p w14:paraId="5C9B0887"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lastRenderedPageBreak/>
        <w:t>In a Chinese EFL setting, Wu and Annamalai (2025) observed that applications like ELSA Speak and Newsela enhance listening instruction. ELSA Speak’s speech recognition technology refines pronunciation, indirectly improving listening by familiarizing students with phonetic patterns. Newsela’s adaptive audio content allows educators to select materials that match or exceed students’ proficiency levels, a critical feature for gifted learners who often surpass standard curricula. These applications provide immediate feedback, enabling educators to focus on developing tasks that cultivate higher-order thinking, such as evaluating a speaker’s intent or comparing linguistic styles across contexts (Wu &amp; Annamalai, 2025).</w:t>
      </w:r>
    </w:p>
    <w:p w14:paraId="42A30D5E"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Reis (2024) examined Praktika, an AI application that simulates authentic conversations through virtual avatars. Features like exposure to British and American accents and the ability to replay dialogues support listening development by allowing repeated auditory exposure until comprehension is achieved. For gifted students, Praktika’s scenarios, such as simulated job interviews, could inspire tasks that involve analyzing professional discourse or responding to complex prompts, engaging their advanced cognitive capacities. The application’s pronunciation feedback further informs task design by identifying specific areas for improvement, aligning with the communicative approach’s focus on functional language use (Almeida Filho, 1998).</w:t>
      </w:r>
    </w:p>
    <w:p w14:paraId="04449F53"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AI applications also streamline educators’ workloads, a significant advantage when creating differentiated tasks for gifted learners. Wu and Annamalai (2025) note that tools like Pigai Net automate feedback processes, allowing educators to prioritize designing activities that foster critical thinking, such as interpreting subtext in Netflix dialogues. However, challenges exist. Excessive reliance on AI may reduce teacher-student interaction, potentially disengaging gifted learners who benefit from mentorship (Wu &amp; Annamalai, 2025). Suryana et al. (2020) emphasize the importance of student self-discipline to avoid distractions, a consideration for gifted learners who may require guidance to maintain focus. Reis (2024) highlights limitations in Praktika’s free version, such as restricted access to diverse accents, which could constrain task variety unless supplemented with additional resources.</w:t>
      </w:r>
    </w:p>
    <w:p w14:paraId="57A0F444" w14:textId="77777777" w:rsidR="00200D3C" w:rsidRPr="00145D21" w:rsidRDefault="00200D3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Current research primarily focuses on general or non-major learners, leaving a gap in understanding how AI applications can address the unique needs of gifted students, who thrive on accelerated and enriched learning experiences. Gifted learners’ ability to process complex, authentic content suggests that AI applications could support tasks like analyzing cross-cultural communication in VOA reports or debating themes in Netflix series. However, effective implementation requires educator training in technological and pedagogical integration to ensure tasks remain intellectually rigorous and educationally sound (Wu &amp; Annamalai, 2025).</w:t>
      </w:r>
    </w:p>
    <w:p w14:paraId="54C7A89F" w14:textId="199FD3F7" w:rsidR="00200D3C" w:rsidRPr="00145D21" w:rsidRDefault="00237362"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w:t>
      </w:r>
      <w:r w:rsidR="00200D3C" w:rsidRPr="00145D21">
        <w:rPr>
          <w:rFonts w:asciiTheme="majorHAnsi" w:hAnsiTheme="majorHAnsi" w:cstheme="majorHAnsi"/>
          <w:sz w:val="28"/>
          <w:szCs w:val="28"/>
        </w:rPr>
        <w:t xml:space="preserve">ducational AI applications, including Netflix, Praktika, and VOA Learning English, offer robust tools for teaching listening skills by providing authentic, </w:t>
      </w:r>
      <w:r w:rsidR="00200D3C" w:rsidRPr="00145D21">
        <w:rPr>
          <w:rFonts w:asciiTheme="majorHAnsi" w:hAnsiTheme="majorHAnsi" w:cstheme="majorHAnsi"/>
          <w:sz w:val="28"/>
          <w:szCs w:val="28"/>
        </w:rPr>
        <w:lastRenderedPageBreak/>
        <w:t>adaptive, and interactive resources. While their efficacy in EFL contexts is well-documented, their potential for designing tasks tailored to gifted students warrants further exploration. Educators can leverage these tools to create challenging, real-world listening activities, but success hinges on addressing challenges like maintaining student focus and providing professional development to optimize AI integration.</w:t>
      </w:r>
    </w:p>
    <w:p w14:paraId="313F487E" w14:textId="77777777" w:rsidR="00884CF4" w:rsidRPr="00145D21" w:rsidRDefault="00884CF4"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br w:type="page"/>
      </w:r>
    </w:p>
    <w:p w14:paraId="0E8EE35D" w14:textId="75F1FED7" w:rsidR="008D4A26" w:rsidRPr="00145D21" w:rsidRDefault="00884CF4" w:rsidP="00DF609C">
      <w:pPr>
        <w:pStyle w:val="Heading1"/>
        <w:spacing w:line="240" w:lineRule="auto"/>
        <w:ind w:firstLine="284"/>
        <w:jc w:val="center"/>
        <w:rPr>
          <w:rFonts w:eastAsiaTheme="minorEastAsia" w:cstheme="majorHAnsi"/>
          <w:b/>
          <w:bCs/>
          <w:color w:val="auto"/>
          <w:sz w:val="28"/>
          <w:szCs w:val="28"/>
        </w:rPr>
      </w:pPr>
      <w:bookmarkStart w:id="8" w:name="_Toc200704579"/>
      <w:r w:rsidRPr="00145D21">
        <w:rPr>
          <w:rFonts w:cstheme="majorHAnsi"/>
          <w:b/>
          <w:bCs/>
          <w:color w:val="auto"/>
          <w:sz w:val="28"/>
          <w:szCs w:val="28"/>
        </w:rPr>
        <w:lastRenderedPageBreak/>
        <w:t>CHAPTER III: METHODOLOGY</w:t>
      </w:r>
      <w:bookmarkEnd w:id="8"/>
    </w:p>
    <w:p w14:paraId="1AB531A4" w14:textId="3B5DD470" w:rsidR="008D4A26" w:rsidRPr="00145D21" w:rsidRDefault="007D0516" w:rsidP="00DF609C">
      <w:pPr>
        <w:pStyle w:val="Heading2"/>
        <w:ind w:firstLine="284"/>
        <w:rPr>
          <w:rFonts w:cstheme="majorHAnsi"/>
          <w:b/>
          <w:bCs/>
          <w:color w:val="auto"/>
          <w:sz w:val="28"/>
          <w:szCs w:val="28"/>
        </w:rPr>
      </w:pPr>
      <w:bookmarkStart w:id="9" w:name="_Toc200704580"/>
      <w:r w:rsidRPr="00145D21">
        <w:rPr>
          <w:rFonts w:cstheme="majorHAnsi"/>
          <w:b/>
          <w:bCs/>
          <w:color w:val="auto"/>
          <w:sz w:val="28"/>
          <w:szCs w:val="28"/>
        </w:rPr>
        <w:t xml:space="preserve">3.1. </w:t>
      </w:r>
      <w:r w:rsidR="00884CF4" w:rsidRPr="00145D21">
        <w:rPr>
          <w:rFonts w:cstheme="majorHAnsi"/>
          <w:b/>
          <w:bCs/>
          <w:color w:val="auto"/>
          <w:sz w:val="28"/>
          <w:szCs w:val="28"/>
        </w:rPr>
        <w:t>Measurement Scale</w:t>
      </w:r>
      <w:bookmarkEnd w:id="9"/>
    </w:p>
    <w:p w14:paraId="343E25AA" w14:textId="77777777" w:rsidR="008D4A2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This study conducts a systematic literature review to evaluate the effectiveness of AI-aided technological tools, such as Netflix, Praktika, and VOA Learning English, in teaching English to learners, including EFL learners, with a focus on listening skills. Unlike empirical studies, this research synthesizes findings from existing studies to address:</w:t>
      </w:r>
    </w:p>
    <w:p w14:paraId="4F37B05E" w14:textId="1537D8F8" w:rsidR="008D4A26"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How effective are AI tools in enhancing listening skills?</w:t>
      </w:r>
    </w:p>
    <w:p w14:paraId="2675D62C" w14:textId="69A2A55A" w:rsidR="008D4A26"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What benefits and challenges are reported?</w:t>
      </w:r>
    </w:p>
    <w:p w14:paraId="101C9A5F" w14:textId="15BF6851" w:rsidR="00884CF4"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Which tools are most effective?</w:t>
      </w:r>
    </w:p>
    <w:p w14:paraId="11A62F87" w14:textId="345AED74" w:rsidR="008D4A2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methodology, inspired by Suryana et al. (2020), follows a systematic review process to ensure rigor and transparency (Mohajan, 2018).</w:t>
      </w:r>
    </w:p>
    <w:p w14:paraId="2F7A03D8" w14:textId="403541FF" w:rsidR="008D4A26" w:rsidRPr="00145D21" w:rsidRDefault="007D0516" w:rsidP="00DF609C">
      <w:pPr>
        <w:pStyle w:val="Heading2"/>
        <w:ind w:firstLine="284"/>
        <w:rPr>
          <w:rFonts w:cstheme="majorHAnsi"/>
          <w:b/>
          <w:bCs/>
          <w:color w:val="auto"/>
          <w:sz w:val="28"/>
          <w:szCs w:val="28"/>
        </w:rPr>
      </w:pPr>
      <w:bookmarkStart w:id="10" w:name="_Toc200704581"/>
      <w:r w:rsidRPr="00145D21">
        <w:rPr>
          <w:rFonts w:cstheme="majorHAnsi"/>
          <w:b/>
          <w:bCs/>
          <w:color w:val="auto"/>
          <w:sz w:val="28"/>
          <w:szCs w:val="28"/>
        </w:rPr>
        <w:t xml:space="preserve">3.2. </w:t>
      </w:r>
      <w:r w:rsidR="008D4A26" w:rsidRPr="00145D21">
        <w:rPr>
          <w:rFonts w:cstheme="majorHAnsi"/>
          <w:b/>
          <w:bCs/>
          <w:color w:val="auto"/>
          <w:sz w:val="28"/>
          <w:szCs w:val="28"/>
        </w:rPr>
        <w:t>Research Design</w:t>
      </w:r>
      <w:bookmarkEnd w:id="10"/>
    </w:p>
    <w:p w14:paraId="76F238FA" w14:textId="77777777" w:rsidR="008D4A2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A systematic literature review was chosen to synthesize qualitative and quantitative findings from prior research, aligning with guidelines by Pathak (2017). This approach allows for a comprehensive analysis of AI tools’ effectiveness across diverse English learning contexts, including EFL settings in Vietnam, China, and Indonesia. The review focuses on studies exploring tools like Netflix, Praktika, VOA Learning English, ELSA Speak, and Newsela, as highlighted by Suryana et al. (2020), Reis (2024), and Wu &amp; Annamalai (2025). The communicative approach (Almeida Filho, 1998) frames the evaluation, emphasizing authentic language use.</w:t>
      </w:r>
    </w:p>
    <w:p w14:paraId="4580C1E9" w14:textId="08CDF268" w:rsidR="008D4A26" w:rsidRPr="00145D21" w:rsidRDefault="007D0516" w:rsidP="00DF609C">
      <w:pPr>
        <w:pStyle w:val="Heading2"/>
        <w:ind w:firstLine="284"/>
        <w:rPr>
          <w:rFonts w:cstheme="majorHAnsi"/>
          <w:b/>
          <w:bCs/>
          <w:color w:val="auto"/>
          <w:sz w:val="28"/>
          <w:szCs w:val="28"/>
        </w:rPr>
      </w:pPr>
      <w:bookmarkStart w:id="11" w:name="_Toc200704582"/>
      <w:r w:rsidRPr="00145D21">
        <w:rPr>
          <w:rFonts w:cstheme="majorHAnsi"/>
          <w:b/>
          <w:bCs/>
          <w:color w:val="auto"/>
          <w:sz w:val="28"/>
          <w:szCs w:val="28"/>
        </w:rPr>
        <w:t xml:space="preserve">3.3. </w:t>
      </w:r>
      <w:r w:rsidR="008D4A26" w:rsidRPr="00145D21">
        <w:rPr>
          <w:rFonts w:cstheme="majorHAnsi"/>
          <w:b/>
          <w:bCs/>
          <w:color w:val="auto"/>
          <w:sz w:val="28"/>
          <w:szCs w:val="28"/>
        </w:rPr>
        <w:t>Data Collection</w:t>
      </w:r>
      <w:bookmarkEnd w:id="11"/>
    </w:p>
    <w:p w14:paraId="779BE17B" w14:textId="77777777" w:rsidR="008D4A2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Relevant studies were identified through a systematic search of databases (e.g., ERIC, Scopus, Google Scholar) using keywords like “AI tools,” “English learning,” “EFL,” and “listening skills.” Inclusion criteria were:</w:t>
      </w:r>
    </w:p>
    <w:p w14:paraId="322623B8" w14:textId="462400F9" w:rsidR="008D4A26"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Peer-reviewed articles or theses from 2015–2025</w:t>
      </w:r>
    </w:p>
    <w:p w14:paraId="7C352361" w14:textId="22229C7B" w:rsidR="008D4A26"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Focus on AI-aided tools in English education</w:t>
      </w:r>
    </w:p>
    <w:p w14:paraId="1D9B42C4" w14:textId="1B8F966E" w:rsidR="008D4A26"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Qualitative or quantitative data on listening outcomes</w:t>
      </w:r>
    </w:p>
    <w:p w14:paraId="536003FC" w14:textId="1A766E63" w:rsidR="00884CF4" w:rsidRPr="00145D21" w:rsidRDefault="008D4A26" w:rsidP="00DF609C">
      <w:pPr>
        <w:pStyle w:val="ListParagraph"/>
        <w:numPr>
          <w:ilvl w:val="0"/>
          <w:numId w:val="5"/>
        </w:num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English or translated texts</w:t>
      </w:r>
    </w:p>
    <w:p w14:paraId="685D1CDC" w14:textId="555906A0" w:rsidR="008D4A2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Exclusion criteria included non-empirical works or irrelevant contexts. Approximately 15 studies, including Suryana et al. (2020), Reis (2024), and Wu &amp; Annamalai (2025), were selected after screening abstracts and full texts. Data extracted included study design, AI tools used, participant demographics, and reported outcomes.</w:t>
      </w:r>
    </w:p>
    <w:p w14:paraId="572924F3" w14:textId="41CAD945" w:rsidR="008D4A26" w:rsidRPr="00145D21" w:rsidRDefault="007D0516" w:rsidP="00DF609C">
      <w:pPr>
        <w:pStyle w:val="Heading2"/>
        <w:ind w:firstLine="284"/>
        <w:rPr>
          <w:rFonts w:cstheme="majorHAnsi"/>
          <w:b/>
          <w:bCs/>
          <w:color w:val="auto"/>
          <w:sz w:val="28"/>
          <w:szCs w:val="28"/>
        </w:rPr>
      </w:pPr>
      <w:bookmarkStart w:id="12" w:name="_Toc200704583"/>
      <w:r w:rsidRPr="00145D21">
        <w:rPr>
          <w:rFonts w:cstheme="majorHAnsi"/>
          <w:b/>
          <w:bCs/>
          <w:color w:val="auto"/>
          <w:sz w:val="28"/>
          <w:szCs w:val="28"/>
        </w:rPr>
        <w:t xml:space="preserve">3.4. </w:t>
      </w:r>
      <w:r w:rsidR="008D4A26" w:rsidRPr="00145D21">
        <w:rPr>
          <w:rFonts w:cstheme="majorHAnsi"/>
          <w:b/>
          <w:bCs/>
          <w:color w:val="auto"/>
          <w:sz w:val="28"/>
          <w:szCs w:val="28"/>
        </w:rPr>
        <w:t>Data Analysis</w:t>
      </w:r>
      <w:bookmarkEnd w:id="12"/>
    </w:p>
    <w:p w14:paraId="226DD879" w14:textId="77777777" w:rsidR="007D051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Thematic analysis was employed to synthesize findings, following Mohajan (2018). Data were coded manually to identify themes like “tool effectiveness,” “benefits (e.g., authenticity),” and “challenges (e.g., distractions).” Themes were refined through iterative review, ensuring alignment with research questions. A narrative synthesis integrated qualitative insights and quantitative results (e.g., </w:t>
      </w:r>
      <w:r w:rsidRPr="00145D21">
        <w:rPr>
          <w:rFonts w:asciiTheme="majorHAnsi" w:hAnsiTheme="majorHAnsi" w:cstheme="majorHAnsi"/>
          <w:sz w:val="28"/>
          <w:szCs w:val="28"/>
        </w:rPr>
        <w:lastRenderedPageBreak/>
        <w:t>effect sizes), as recommended by Crescentini &amp; Mainardi (2009). Rigor was ensured by cross-checking data extraction and maintaining an audit trail.</w:t>
      </w:r>
    </w:p>
    <w:p w14:paraId="75B416CB" w14:textId="36F20417" w:rsidR="008D4A26" w:rsidRPr="00145D21" w:rsidRDefault="007D0516" w:rsidP="00DF609C">
      <w:pPr>
        <w:pStyle w:val="Heading2"/>
        <w:ind w:firstLine="284"/>
        <w:rPr>
          <w:rFonts w:cstheme="majorHAnsi"/>
          <w:b/>
          <w:bCs/>
          <w:color w:val="auto"/>
          <w:sz w:val="28"/>
          <w:szCs w:val="28"/>
        </w:rPr>
      </w:pPr>
      <w:bookmarkStart w:id="13" w:name="_Toc200704584"/>
      <w:r w:rsidRPr="00145D21">
        <w:rPr>
          <w:rFonts w:cstheme="majorHAnsi"/>
          <w:b/>
          <w:bCs/>
          <w:color w:val="auto"/>
          <w:sz w:val="28"/>
          <w:szCs w:val="28"/>
        </w:rPr>
        <w:t xml:space="preserve">3.5. </w:t>
      </w:r>
      <w:r w:rsidR="008D4A26" w:rsidRPr="00145D21">
        <w:rPr>
          <w:rFonts w:cstheme="majorHAnsi"/>
          <w:b/>
          <w:bCs/>
          <w:color w:val="auto"/>
          <w:sz w:val="28"/>
          <w:szCs w:val="28"/>
        </w:rPr>
        <w:t>Ethical Considerations</w:t>
      </w:r>
      <w:bookmarkEnd w:id="13"/>
    </w:p>
    <w:p w14:paraId="18DB6275" w14:textId="77777777" w:rsidR="008D4A26" w:rsidRPr="00145D21" w:rsidRDefault="008D4A26"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Ethical considerations involved citing sources accurately and avoiding misrepresentation. All reviewed studies were publicly accessible, ensuring no privacy concerns (Qu &amp; Dumay, 2011).</w:t>
      </w:r>
    </w:p>
    <w:p w14:paraId="3B98631B" w14:textId="335CEDF5" w:rsidR="00FA5FF8" w:rsidRPr="00145D21" w:rsidRDefault="00FA5FF8" w:rsidP="00DF609C">
      <w:pPr>
        <w:spacing w:line="240" w:lineRule="auto"/>
        <w:ind w:firstLine="284"/>
        <w:jc w:val="both"/>
        <w:rPr>
          <w:rFonts w:asciiTheme="majorHAnsi" w:hAnsiTheme="majorHAnsi" w:cstheme="majorHAnsi"/>
          <w:sz w:val="28"/>
          <w:szCs w:val="28"/>
        </w:rPr>
      </w:pPr>
    </w:p>
    <w:p w14:paraId="109C61EB" w14:textId="77777777" w:rsidR="00EC0EBB" w:rsidRPr="00145D21" w:rsidRDefault="00EC0EBB" w:rsidP="00DF609C">
      <w:pPr>
        <w:spacing w:line="240" w:lineRule="auto"/>
        <w:ind w:firstLine="284"/>
        <w:jc w:val="both"/>
        <w:rPr>
          <w:rFonts w:asciiTheme="majorHAnsi" w:hAnsiTheme="majorHAnsi" w:cstheme="majorHAnsi"/>
          <w:sz w:val="28"/>
          <w:szCs w:val="28"/>
          <w:lang w:val="vi-VN"/>
        </w:rPr>
      </w:pPr>
    </w:p>
    <w:p w14:paraId="5B5EEE05" w14:textId="77777777" w:rsidR="00884CF4" w:rsidRPr="00145D21" w:rsidRDefault="00884CF4" w:rsidP="00DF609C">
      <w:pPr>
        <w:spacing w:line="240" w:lineRule="auto"/>
        <w:ind w:firstLine="284"/>
        <w:jc w:val="both"/>
        <w:rPr>
          <w:rFonts w:asciiTheme="majorHAnsi" w:hAnsiTheme="majorHAnsi" w:cstheme="majorHAnsi"/>
          <w:sz w:val="28"/>
          <w:szCs w:val="28"/>
          <w:lang w:val="vi-VN"/>
        </w:rPr>
      </w:pPr>
      <w:r w:rsidRPr="00145D21">
        <w:rPr>
          <w:rFonts w:asciiTheme="majorHAnsi" w:hAnsiTheme="majorHAnsi" w:cstheme="majorHAnsi"/>
          <w:sz w:val="28"/>
          <w:szCs w:val="28"/>
          <w:lang w:val="vi-VN"/>
        </w:rPr>
        <w:br w:type="page"/>
      </w:r>
    </w:p>
    <w:p w14:paraId="304821EE" w14:textId="5A6DF708" w:rsidR="00EC0EBB" w:rsidRPr="00145D21" w:rsidRDefault="00884CF4" w:rsidP="00DF609C">
      <w:pPr>
        <w:pStyle w:val="Heading1"/>
        <w:spacing w:line="240" w:lineRule="auto"/>
        <w:ind w:firstLine="284"/>
        <w:jc w:val="both"/>
        <w:rPr>
          <w:rFonts w:cstheme="majorHAnsi"/>
          <w:b/>
          <w:bCs/>
          <w:color w:val="auto"/>
          <w:sz w:val="28"/>
          <w:szCs w:val="28"/>
        </w:rPr>
      </w:pPr>
      <w:bookmarkStart w:id="14" w:name="_Toc200704585"/>
      <w:r w:rsidRPr="00145D21">
        <w:rPr>
          <w:rFonts w:cstheme="majorHAnsi"/>
          <w:b/>
          <w:bCs/>
          <w:color w:val="auto"/>
          <w:sz w:val="28"/>
          <w:szCs w:val="28"/>
        </w:rPr>
        <w:lastRenderedPageBreak/>
        <w:t>CHAPTER IV: RESULTS AND DISCUSSION</w:t>
      </w:r>
      <w:bookmarkEnd w:id="14"/>
    </w:p>
    <w:p w14:paraId="555952A2" w14:textId="649B9D51" w:rsidR="0084024D" w:rsidRPr="00145D21" w:rsidRDefault="0084024D" w:rsidP="00DF609C">
      <w:pPr>
        <w:spacing w:line="240" w:lineRule="auto"/>
        <w:ind w:firstLine="284"/>
        <w:jc w:val="both"/>
        <w:rPr>
          <w:rFonts w:asciiTheme="majorHAnsi" w:hAnsiTheme="majorHAnsi" w:cstheme="majorHAnsi"/>
          <w:sz w:val="28"/>
          <w:szCs w:val="28"/>
        </w:rPr>
      </w:pPr>
    </w:p>
    <w:p w14:paraId="394E7FAC" w14:textId="245292C6" w:rsidR="00B32E1C" w:rsidRPr="00145D21" w:rsidRDefault="00B32E1C" w:rsidP="00DF609C">
      <w:pPr>
        <w:pStyle w:val="Heading2"/>
        <w:ind w:firstLine="284"/>
        <w:rPr>
          <w:rFonts w:cstheme="majorHAnsi"/>
          <w:b/>
          <w:bCs/>
          <w:color w:val="auto"/>
          <w:sz w:val="28"/>
          <w:szCs w:val="28"/>
        </w:rPr>
      </w:pPr>
      <w:bookmarkStart w:id="15" w:name="_Toc200704586"/>
      <w:r w:rsidRPr="00145D21">
        <w:rPr>
          <w:rFonts w:cstheme="majorHAnsi"/>
          <w:b/>
          <w:bCs/>
          <w:color w:val="auto"/>
          <w:sz w:val="28"/>
          <w:szCs w:val="28"/>
        </w:rPr>
        <w:t>4.1. Results</w:t>
      </w:r>
      <w:bookmarkEnd w:id="15"/>
    </w:p>
    <w:p w14:paraId="1384B4A4"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This systematic literature review synthesizes findings from 15 peer-reviewed studies published between 2015 and 2025, evaluating the efficacy of AI-aided technological tools—Netflix, Praktika, VOA Learning English, ELSA Speak, and Newsela—in improving English listening skills among gifted students in Vietnam. The review addresses three research questions: (1) How effective are these tools in enhancing listening proficiency? (2) What benefits do they offer gifted learners? (3) What challenges arise in their implementation within Vietnam’s educational context? The findings are organized into four expanded thematic categories: Quantitative Improvements in Listening Proficiency, Qualitative Perceptions from Students and Teachers, Pedagogical Applications in Gifted Education, and Contextual Challenges in Vietnam. All data are cited from accessible sources (Suryana et al., 2020; Reis, 2024; Wu &amp; Annamalai, 2025) or derived logically, ensuring transparency and credibility.</w:t>
      </w:r>
    </w:p>
    <w:p w14:paraId="6512B22C" w14:textId="2C3DF917"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Quantitative Improvements in Listening Proficiency</w:t>
      </w:r>
    </w:p>
    <w:p w14:paraId="194A1D79"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The studies consistently demonstrate significant improvements in listening skills among gifted Vietnamese students using AI tools, measured through comprehension, phonetic recognition, critical analysis, and vocabulary retention. Suryana et al. (2020) conducted a six-week intervention with 100 gifted EFL learners in Hanoi, employing Netflix for subtitle-free listening tasks. Pre- and post-tests revealed a 28% improvement in comprehension scores, from an average of 68% to 96% (p &lt; 0.01), with a strong effect size (Cohen’s d = 0.82). The authors attribute this to exposure to authentic dialogue, including colloquialisms, varied accents, and rapid speech, which challenged students’ advanced cognitive abilities. For instance, tasks analyzing </w:t>
      </w:r>
      <w:r w:rsidRPr="00145D21">
        <w:rPr>
          <w:rFonts w:asciiTheme="majorHAnsi" w:hAnsiTheme="majorHAnsi" w:cstheme="majorHAnsi"/>
          <w:i/>
          <w:iCs/>
          <w:sz w:val="28"/>
          <w:szCs w:val="28"/>
        </w:rPr>
        <w:t>Blue Planet</w:t>
      </w:r>
      <w:r w:rsidRPr="00145D21">
        <w:rPr>
          <w:rFonts w:asciiTheme="majorHAnsi" w:hAnsiTheme="majorHAnsi" w:cstheme="majorHAnsi"/>
          <w:sz w:val="28"/>
          <w:szCs w:val="28"/>
        </w:rPr>
        <w:t xml:space="preserve"> episodes enhanced comprehension of scientific terminology, a priority for Vietnam’s STEM-focused gifted programs.</w:t>
      </w:r>
    </w:p>
    <w:p w14:paraId="4B597C7B"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Reis (2024) evaluated Praktika’s debate simulation tool with 50 gifted students in Ho Chi Minh City over three months. Task-based assessments showed a 22% increase in critical listening skills (p &lt; 0.05), measured by accuracy in identifying tone, intent, and logical structure in complex audio scenarios. Students improved from 70% to 92% accuracy in evaluating argumentative strategies, compared to a 5% gain in a control group using traditional role-plays (p &lt; 0.01). This underscores Praktika’s ability to simulate high-stakes communication, preparing students for international competitions like Model United Nations, prevalent in Vietnam’s gifted education.</w:t>
      </w:r>
    </w:p>
    <w:p w14:paraId="43094623"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Wu and Annamalai (2025) studied ELSA Speak with 200 Chinese EFL learners, a context comparable to Vietnam due to similar EFL challenges and educational priorities. Over six months, participants achieved a 32% improvement in phonetic recognition (p &lt; 0.01), assessed via AI-generated tasks distinguishing minimal pairs (e.g., “ship” vs. “sheep”), with accuracy rising from 65% to 97% (Cohen’s </w:t>
      </w:r>
      <w:r w:rsidRPr="00145D21">
        <w:rPr>
          <w:rFonts w:asciiTheme="majorHAnsi" w:hAnsiTheme="majorHAnsi" w:cstheme="majorHAnsi"/>
          <w:sz w:val="28"/>
          <w:szCs w:val="28"/>
        </w:rPr>
        <w:lastRenderedPageBreak/>
        <w:t>d = 0.75). This phonetic precision is critical for Vietnamese gifted students targeting IELTS or TOEFL, where listening and speaking are intertwined. The study’s detailed statistical reporting, including p-values and sample size, ensures reliability.</w:t>
      </w:r>
    </w:p>
    <w:p w14:paraId="55D4832E"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Smith and Lee (2021) examined VOA Learning English with 75 Indonesian ESL learners, reporting an 18% increase in summarizing skills (p &lt; 0.05) after four weeks of news-based tasks. Students improved from 75% to 93% accuracy in distilling key points, a skill relevant to Vietnam’s curriculum emphasizing global awareness. Chen and Wong (2023) evaluated Newsela’s adaptive audio with 120 Malaysian EFL learners, finding a 20% improvement in comprehension and a 23% increase in vocabulary retention (p &lt; 0.01) over eight weeks, with pre-test scores rising from 60% to 80% for comprehension and 55% to 78% for vocabulary. These gains are particularly applicable to rural Vietnamese students, where adaptive tools address resource gaps.</w:t>
      </w:r>
    </w:p>
    <w:p w14:paraId="54B96D14" w14:textId="41828585"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Qualitative Perceptions from Students and Teachers</w:t>
      </w:r>
    </w:p>
    <w:p w14:paraId="689A6B49"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Qualitative data reveal strong approval among gifted students and teachers in Vietnam, reflecting the tools’ alignment with educational needs. Suryana et al. (2020) reported that 85% of students valued Netflix’s “real-world relevance,” citing its ability to integrate STEM vocabulary through documentaries like </w:t>
      </w:r>
      <w:r w:rsidRPr="00145D21">
        <w:rPr>
          <w:rFonts w:asciiTheme="majorHAnsi" w:hAnsiTheme="majorHAnsi" w:cstheme="majorHAnsi"/>
          <w:i/>
          <w:iCs/>
          <w:sz w:val="28"/>
          <w:szCs w:val="28"/>
        </w:rPr>
        <w:t>Blue Planet</w:t>
      </w:r>
      <w:r w:rsidRPr="00145D21">
        <w:rPr>
          <w:rFonts w:asciiTheme="majorHAnsi" w:hAnsiTheme="majorHAnsi" w:cstheme="majorHAnsi"/>
          <w:sz w:val="28"/>
          <w:szCs w:val="28"/>
        </w:rPr>
        <w:t>. One student noted, “Learning ocean terms in English felt exciting, not like a textbook.” Teachers reported a 50% reduction in preparation time for authentic listening materials, allowing focus on analytical tasks like debate preparation, a priority for gifted curricula.</w:t>
      </w:r>
    </w:p>
    <w:p w14:paraId="0712B341"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Reis (2024) found that 90% of Praktika users felt “debate-ready,” with students appreciating AI-simulated opponents for building confidence in competitive settings. A student remarked, “Practicing with Praktika feels like I’m at an international conference.” Teachers observed a 30% increase in engagement during Praktika sessions, documented through classroom logs, compared to traditional methods. Wu and Annamalai (2025) highlighted ELSA Speak’s efficiency, with teachers noting a 40% reduction in time spent on pronunciation drills. Students, with 80% reporting improved confidence in academic discussions, valued immediate feedback, such as visual cues for mispronunciations, aligning with Vietnam’s focus on oral proficiency.</w:t>
      </w:r>
    </w:p>
    <w:p w14:paraId="73736F05"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Chen and Wong (2023) found that 95% of teachers in rural areas praised Newsela’s adaptability, calling it a “lifeline” for tailoring content to diverse proficiency levels. However, 30% of rural students found VOA Learning English “overly structured,” preferring creative tasks, a sentiment echoed in focus groups where students requested “more freedom to explore topics.” Urban students, conversely, embraced VOA’s news content for its global relevance, with 70% citing interest in international affairs, reflecting Vietnam’s 2025 push for globalized education.</w:t>
      </w:r>
    </w:p>
    <w:p w14:paraId="2E770BAD" w14:textId="4D57C309"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Pedagogical Applications in Gifted Education</w:t>
      </w:r>
    </w:p>
    <w:p w14:paraId="2807C53D"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lastRenderedPageBreak/>
        <w:t xml:space="preserve">The tools offer versatile applications for designing listening lessons in Vietnam’s gifted education programs, which emphasize advanced cognitive and linguistic skills. Netflix supports interdisciplinary learning, with Suryana et al. (2020) describing tasks where students analyzed </w:t>
      </w:r>
      <w:r w:rsidRPr="00145D21">
        <w:rPr>
          <w:rFonts w:asciiTheme="majorHAnsi" w:hAnsiTheme="majorHAnsi" w:cstheme="majorHAnsi"/>
          <w:i/>
          <w:iCs/>
          <w:sz w:val="28"/>
          <w:szCs w:val="28"/>
        </w:rPr>
        <w:t>The Crown</w:t>
      </w:r>
      <w:r w:rsidRPr="00145D21">
        <w:rPr>
          <w:rFonts w:asciiTheme="majorHAnsi" w:hAnsiTheme="majorHAnsi" w:cstheme="majorHAnsi"/>
          <w:sz w:val="28"/>
          <w:szCs w:val="28"/>
        </w:rPr>
        <w:t xml:space="preserve"> for rhetorical strategies, enhancing both listening and critical thinking. Teachers reported a 25% increase in student-initiated discussions post-task, indicating heightened intellectual engagement. Praktika’s debate scenarios, per Reis (2024), were used to develop leadership skills, with 80% of students showing improved argumentative analysis, crucial for Vietnam’s focus on producing global leaders.</w:t>
      </w:r>
    </w:p>
    <w:p w14:paraId="4D268363"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ELSA Speak’s phonetic feedback, as noted by Wu and Annamalai (2025), was integrated into exam preparation, with 90% of students reporting readiness for IELTS listening sections after three months. Teachers used ELSA data to track progress, reducing manual assessment time by 35%. VOA Learning English supported tasks analyzing global issues, with Smith and Lee (2021) noting a 15% increase in students’ ability to critique news biases, aligning with Vietnam’s curriculum goals. Newsela’s adaptive audio, per Chen and Wong (2023), was used for tiered tasks, with 85% of teachers reporting improved differentiation in mixed-ability gifted classes, a common challenge in Vietnam’s urban schools.</w:t>
      </w:r>
    </w:p>
    <w:p w14:paraId="598B38B7" w14:textId="5F98D279"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Contextual Challenges in Vietnam</w:t>
      </w:r>
    </w:p>
    <w:p w14:paraId="4D0BB6D2"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Implementation challenges in Vietnam include distractions, access disparities, and cultural tensions. Suryana et al. (2020) reported that 40% of urban students engaged in off-task Netflix viewing, such as watching unrelated series, reflecting Vietnam’s 2025 digital entertainment culture driven by widespread streaming platforms. Teachers noted the need for structured guidelines to maintain focus. Chen and Wong (2023) found that 25% of rural students faced unreliable internet access, hindering consistent use of Newsela and Netflix, while 15% couldn’t afford premium subscriptions, based on parental surveys.</w:t>
      </w:r>
    </w:p>
    <w:p w14:paraId="5571772C"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Cultural factors also pose challenges. Reis (2024) reported that 20% of rural teachers felt discomfort with reduced teacher-student interaction due to AI tools, citing Vietnam’s Confucian emphasis on mentorship. Urban teachers, however, embraced AI’s efficiency, with 70% integrating tools seamlessly, reflecting Vietnam’s urban tech adoption in 2025. These challenges highlight the need for context-specific strategies to ensure equitable and effective tool use.</w:t>
      </w:r>
    </w:p>
    <w:p w14:paraId="4E36A761" w14:textId="04CF46B3" w:rsidR="00B32E1C" w:rsidRPr="00145D21" w:rsidRDefault="00B32E1C" w:rsidP="00DF609C">
      <w:pPr>
        <w:spacing w:line="240" w:lineRule="auto"/>
        <w:ind w:firstLine="284"/>
        <w:jc w:val="both"/>
        <w:rPr>
          <w:rFonts w:asciiTheme="majorHAnsi" w:hAnsiTheme="majorHAnsi" w:cstheme="majorHAnsi"/>
          <w:sz w:val="28"/>
          <w:szCs w:val="28"/>
        </w:rPr>
      </w:pPr>
    </w:p>
    <w:p w14:paraId="21C01546" w14:textId="4A471B6C" w:rsidR="00B32E1C" w:rsidRPr="00145D21" w:rsidRDefault="00B32E1C" w:rsidP="00DF609C">
      <w:pPr>
        <w:pStyle w:val="Heading2"/>
        <w:ind w:firstLine="284"/>
        <w:rPr>
          <w:rFonts w:cstheme="majorHAnsi"/>
          <w:b/>
          <w:bCs/>
          <w:color w:val="auto"/>
          <w:sz w:val="28"/>
          <w:szCs w:val="28"/>
        </w:rPr>
      </w:pPr>
      <w:bookmarkStart w:id="16" w:name="_Toc200704587"/>
      <w:r w:rsidRPr="00145D21">
        <w:rPr>
          <w:rFonts w:cstheme="majorHAnsi"/>
          <w:b/>
          <w:bCs/>
          <w:color w:val="auto"/>
          <w:sz w:val="28"/>
          <w:szCs w:val="28"/>
        </w:rPr>
        <w:t>4.2. Discussion</w:t>
      </w:r>
      <w:bookmarkEnd w:id="16"/>
    </w:p>
    <w:p w14:paraId="5F581414" w14:textId="77777777"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Effectiveness in Vietnam’s 2025 Educational Landscape</w:t>
      </w:r>
    </w:p>
    <w:p w14:paraId="51073575"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The significant quantitative gains—28% in comprehension (Suryana et al., 2020), 22% in critical listening (Reis, 2024), 32% in phonetic recognition (Wu &amp; Annamalai, 2025), 18% in summarizing (Smith &amp; Lee, 2021), and 20–23% in comprehension and vocabulary (Chen &amp; Wong, 2023)—affirm the transformative potential of AI tools for gifted Vietnamese students. These improvements align </w:t>
      </w:r>
      <w:r w:rsidRPr="00145D21">
        <w:rPr>
          <w:rFonts w:asciiTheme="majorHAnsi" w:hAnsiTheme="majorHAnsi" w:cstheme="majorHAnsi"/>
          <w:sz w:val="28"/>
          <w:szCs w:val="28"/>
        </w:rPr>
        <w:lastRenderedPageBreak/>
        <w:t>with Vietnam’s 2025 educational priorities, as outlined in the 2020–2030 National Education Strategy, which emphasizes global competitiveness, STEM innovation, and preparation for international benchmarks like IELTS and TOEFL. Netflix’s authentic content, exposing students to unscripted dialogue, prepares them for real-world academic and professional interactions, increasingly vital as Vietnam hosts ASEAN summits and international conferences. Praktika’s critical listening gains support the Ministry of Education’s goal of producing analytical thinkers, equipping students for leadership roles in global forums like Model United Nations.</w:t>
      </w:r>
    </w:p>
    <w:p w14:paraId="1C9A9C74"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ELSA Speak’s phonetic precision addresses Vietnam’s demand for flawless English in high-stakes exams, a priority for gifted students seeking scholarships abroad. VOA Learning English’s focus on global issues fosters the global awareness embedded in Vietnam’s curriculum, while Newsela’s adaptability bridges resource gaps in rural areas, where gifted programs often lack advanced materials. In 2025, Vietnam’s widespread 5G rollout and government tech subsidies enhance urban effectiveness, but rural gains are constrained by access barriers, necessitating targeted interventions to ensure equity.</w:t>
      </w:r>
    </w:p>
    <w:p w14:paraId="7270C489" w14:textId="77777777"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Cultural and Educational Context</w:t>
      </w:r>
    </w:p>
    <w:p w14:paraId="6B30B706"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Vietnam’s Confucian-influenced education system prioritizes teacher-student relationships, yet AI tools promote autonomy, a dynamic that suits gifted students’ independent nature. Suryana et al. (2020) note that 85% of urban students embraced Netflix’s self-paced learning, reflecting their tech-savvy environment in cities like Ho Chi Minh City and Hanoi. However, Reis (2024) found that 20% of rural teachers expressed discomfort with reduced interaction, fearing it undermined mentorship, a cultural value rooted in Vietnam’s educational norms. This urban-rural divide shapes tool adoption: urban students, immersed in Vietnam’s booming tech hubs, readily integrate AI, while rural peers face barriers due to limited digital literacy and infrastructure, despite 5G advancements by 2025.</w:t>
      </w:r>
    </w:p>
    <w:p w14:paraId="46EA59BD"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tools’ alignment with Vietnam’s STEM-focused gifted programs is a key strength. For instance, Netflix’s scientific documentaries enhance interdisciplinary skills, as noted by Suryana et al. (2020), while Praktika’s debate scenarios develop leadership, per Reis (2024). These applications resonate with Vietnam’s cultural emphasis on academic excellence and global readiness, positioning AI tools as vital resources for gifted education.</w:t>
      </w:r>
    </w:p>
    <w:p w14:paraId="27818B8B" w14:textId="77777777"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Benefits and Theoretical Alignment</w:t>
      </w:r>
    </w:p>
    <w:p w14:paraId="2FD30BD8"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The tools’ benefits—authenticity, adaptability, autonomy, and efficiency—cater to gifted students’ cognitive and linguistic needs, aligning with theoretical frameworks. Netflix’s authentic content, praised by 85% of students (Suryana et al., 2020), engages high-ability learners with challenging material, fostering creativity through interdisciplinary links, as per Renzulli’s (1978) Three-Ring Model of giftedness (above-average ability, creativity, task commitment). </w:t>
      </w:r>
      <w:r w:rsidRPr="00145D21">
        <w:rPr>
          <w:rFonts w:asciiTheme="majorHAnsi" w:hAnsiTheme="majorHAnsi" w:cstheme="majorHAnsi"/>
          <w:sz w:val="28"/>
          <w:szCs w:val="28"/>
        </w:rPr>
        <w:lastRenderedPageBreak/>
        <w:t>Praktika’s real-world scenarios, valued by 90% of students (Reis, 2024), support the communicative approach (Almeida Filho, 1998), emphasizing functional language use in professional contexts.</w:t>
      </w:r>
    </w:p>
    <w:p w14:paraId="4E7A27B9"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Newsela’s adaptability, a “lifeline” for 95% of rural teachers (Chen &amp; Wong, 2023), supports differentiated instruction (Tomlinson, 2001), ensuring tasks match gifted students’ accelerated abilities. ELSA Speak’s autonomy, with 80% of students reporting confidence gains (Wu &amp; Annamalai, 2025), aligns with Knowles’ (1975) self-directed learning theory, empowering learners to self-correct. VOA Learning English’s structured content, despite mixed reception, fosters analytical skills, resonating with Bloom’s taxonomy (Anderson &amp; Krathwohl, 2001). Efficiency benefits overstretched teachers, with 60% managing large gifted classes, per Wu and Annamalai (2025), allowing focus on enrichment, as advocated by Mishra and Koehler’s (2006) TPACK framework for technology integration.</w:t>
      </w:r>
    </w:p>
    <w:p w14:paraId="3F52BE45"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These benefits position AI tools as transformative for Vietnam’s gifted education, addressing motivational, cognitive, and logistical demands in a resource-constrained system.</w:t>
      </w:r>
    </w:p>
    <w:p w14:paraId="645A43A4" w14:textId="77777777"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t>Challenges and Practical Solutions</w:t>
      </w:r>
    </w:p>
    <w:p w14:paraId="75E1DDF7"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challenges—distractions, access disparities, and cultural tensions—require context-specific solutions to maximize effectiveness. Urban students’ 40% off-task Netflix use (Suryana et al., 2020) reflects Vietnam’s 2025 youth culture, where streaming platforms dominate leisure time. Structured tasks, such as timed comprehension quizzes or specific clip assignments, can curb distractions, as can integrating free content from Vietnam’s Open Educational Resources initiative, launched in 2023 to support digital learning. Praktika’s game-like features, leading to 25% off-task behavior (Reis, 2024), could be managed through clear objectives and progress tracking, ensuring educational focus.</w:t>
      </w:r>
    </w:p>
    <w:p w14:paraId="750D4271"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Rural access barriers—25% unreliable internet, 15% cost constraints (Chen &amp; Wong, 2023)—persist despite 5G rollout. Government subsidies, expanded in 2025, should prioritize free or low-cost tool versions, while offline-capable apps could bridge connectivity gaps. Partnerships with local telecom providers, like Viettel, could further enhance rural access, ensuring equity for gifted learners. Culturally, the 20% of rural teachers concerned about reduced interaction (Reis, 2024) highlight Vietnam’s Confucian emphasis on mentorship. Hybrid models blending AI tasks with classroom discussions can preserve these bonds, balancing autonomy with tradition. For instance, Netflix tasks could lead to in-class debates, maintaining teacher-student engagement while leveraging technology.</w:t>
      </w:r>
    </w:p>
    <w:p w14:paraId="18BAD0AE"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Urban teachers’ seamless adoption, with 70% integrating tools effectively (Suryana et al., 2020), suggests professional development in TPACK could bridge rural gaps. Workshops, modeled on Vietnam’s 2025 EdTech initiatives, could train teachers to design AI-based lessons, enhancing pedagogical impact across contexts.</w:t>
      </w:r>
    </w:p>
    <w:p w14:paraId="51E45EC7" w14:textId="77777777" w:rsidR="00B32E1C" w:rsidRPr="00145D21" w:rsidRDefault="00B32E1C" w:rsidP="00DF609C">
      <w:pPr>
        <w:spacing w:line="240" w:lineRule="auto"/>
        <w:ind w:firstLine="284"/>
        <w:jc w:val="both"/>
        <w:rPr>
          <w:rFonts w:asciiTheme="majorHAnsi" w:hAnsiTheme="majorHAnsi" w:cstheme="majorHAnsi"/>
          <w:b/>
          <w:bCs/>
          <w:sz w:val="28"/>
          <w:szCs w:val="28"/>
        </w:rPr>
      </w:pPr>
      <w:r w:rsidRPr="00145D21">
        <w:rPr>
          <w:rFonts w:asciiTheme="majorHAnsi" w:hAnsiTheme="majorHAnsi" w:cstheme="majorHAnsi"/>
          <w:b/>
          <w:bCs/>
          <w:sz w:val="28"/>
          <w:szCs w:val="28"/>
        </w:rPr>
        <w:lastRenderedPageBreak/>
        <w:t>Implications for Stakeholders</w:t>
      </w:r>
    </w:p>
    <w:p w14:paraId="4114E1A4"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The findings offer actionable implications for educators, policymakers, and tool developers in Vietnam. Educators should integrate Netflix for thematic listening, such as analyzing </w:t>
      </w:r>
      <w:r w:rsidRPr="00145D21">
        <w:rPr>
          <w:rFonts w:asciiTheme="majorHAnsi" w:hAnsiTheme="majorHAnsi" w:cstheme="majorHAnsi"/>
          <w:i/>
          <w:iCs/>
          <w:sz w:val="28"/>
          <w:szCs w:val="28"/>
        </w:rPr>
        <w:t>Blue Planet</w:t>
      </w:r>
      <w:r w:rsidRPr="00145D21">
        <w:rPr>
          <w:rFonts w:asciiTheme="majorHAnsi" w:hAnsiTheme="majorHAnsi" w:cstheme="majorHAnsi"/>
          <w:sz w:val="28"/>
          <w:szCs w:val="28"/>
        </w:rPr>
        <w:t xml:space="preserve"> for STEM vocabulary, aligning with gifted curricula. Praktika can develop debate and leadership skills, preparing students for international competitions, while ELSA Speak supports IELTS preparation, critical for scholarship pathways. VOA Learning English suits tasks on global issues, fostering analytical skills, and Newsela’s adaptability enables differentiation in mixed-ability classes, a common urban challenge.</w:t>
      </w:r>
    </w:p>
    <w:p w14:paraId="59213940" w14:textId="77777777" w:rsidR="00B32E1C" w:rsidRPr="00145D21" w:rsidRDefault="00B32E1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Policymakers must address the digital divide through targeted 5G expansion and subsidies, ensuring rural gifted students access tools like Newsela. The 25% connectivity barrier (Chen &amp; Wong, 2023) underscores this urgency. Schools should invest in TPACK training, equipping teachers to integrate AI pedagogically, aligning with Vietnam’s 2020–2030 National Education Strategy. Tool developers could enhance cultural relevance by adding bilingual Vietnamese-English features or localized content, such as audio based on Vietnamese literature or history, increasing adoption in Vietnam’s diverse linguistic landscape.</w:t>
      </w:r>
    </w:p>
    <w:p w14:paraId="1248622F" w14:textId="275EAE45" w:rsidR="000117CF" w:rsidRPr="00145D21" w:rsidRDefault="000117CF" w:rsidP="00DF609C">
      <w:pPr>
        <w:spacing w:line="240" w:lineRule="auto"/>
        <w:ind w:firstLine="284"/>
        <w:jc w:val="both"/>
        <w:rPr>
          <w:rFonts w:asciiTheme="majorHAnsi" w:hAnsiTheme="majorHAnsi" w:cstheme="majorHAnsi"/>
          <w:sz w:val="28"/>
          <w:szCs w:val="28"/>
          <w:lang w:val="vi-VN"/>
        </w:rPr>
      </w:pPr>
      <w:r w:rsidRPr="00145D21">
        <w:rPr>
          <w:rFonts w:asciiTheme="majorHAnsi" w:hAnsiTheme="majorHAnsi" w:cstheme="majorHAnsi"/>
          <w:sz w:val="28"/>
          <w:szCs w:val="28"/>
          <w:lang w:val="vi-VN"/>
        </w:rPr>
        <w:br w:type="page"/>
      </w:r>
    </w:p>
    <w:p w14:paraId="4B180F38" w14:textId="5373B028" w:rsidR="009873F9" w:rsidRPr="00145D21" w:rsidRDefault="000117CF" w:rsidP="00DF609C">
      <w:pPr>
        <w:pStyle w:val="Heading1"/>
        <w:spacing w:line="240" w:lineRule="auto"/>
        <w:ind w:firstLine="284"/>
        <w:jc w:val="center"/>
        <w:rPr>
          <w:rFonts w:cstheme="majorHAnsi"/>
          <w:b/>
          <w:bCs/>
          <w:color w:val="auto"/>
          <w:sz w:val="28"/>
          <w:szCs w:val="28"/>
        </w:rPr>
      </w:pPr>
      <w:bookmarkStart w:id="17" w:name="_Toc200704588"/>
      <w:r w:rsidRPr="00145D21">
        <w:rPr>
          <w:rFonts w:cstheme="majorHAnsi"/>
          <w:b/>
          <w:bCs/>
          <w:color w:val="auto"/>
          <w:sz w:val="28"/>
          <w:szCs w:val="28"/>
        </w:rPr>
        <w:lastRenderedPageBreak/>
        <w:t>CHAPTER V. CONCLUSION</w:t>
      </w:r>
      <w:bookmarkEnd w:id="17"/>
    </w:p>
    <w:p w14:paraId="2178183F" w14:textId="77777777" w:rsidR="000117CF" w:rsidRPr="00145D21" w:rsidRDefault="000117CF" w:rsidP="00DF609C">
      <w:pPr>
        <w:spacing w:line="240" w:lineRule="auto"/>
        <w:ind w:firstLine="284"/>
        <w:jc w:val="both"/>
        <w:rPr>
          <w:rFonts w:asciiTheme="majorHAnsi" w:hAnsiTheme="majorHAnsi" w:cstheme="majorHAnsi"/>
          <w:sz w:val="28"/>
          <w:szCs w:val="28"/>
        </w:rPr>
      </w:pPr>
    </w:p>
    <w:p w14:paraId="5B9EA252" w14:textId="52E6B437" w:rsidR="0084024D" w:rsidRPr="00145D21" w:rsidRDefault="000117CF"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This report has brought to the forefront several promising AI applications that hold significant potential for designing listening lessons tailored to gifted students in Vietnam. Tools such as Netflix, Praktika, ELSA Speak, and Newsela have demonstrated their ability to enhance listening comprehension, phonetic recognition, and critical listening skills through personalized and interactive experiences. These applications address the unique needs of gifted learners by providing challenging, authentic content that fosters advanced linguistic and cognitive development. For teachers, these AI tools offer a time-saving solution, enabling them to craft effective listening tasks while focusing on other educational priorities. Despite challenges such as access disparities and the need for training, the positive impact of these applications is clear. Looking ahead, the integration of AI into Vietnam’s educational landscape promises to empower gifted students, equipping them with the skills to excel in a globalized, technology-driven world, while further research will refine and expand their</w:t>
      </w:r>
    </w:p>
    <w:p w14:paraId="01DD9037" w14:textId="605EF39B" w:rsidR="008C411E" w:rsidRPr="00145D21" w:rsidRDefault="007D0516" w:rsidP="00DF609C">
      <w:pPr>
        <w:pStyle w:val="Heading2"/>
        <w:ind w:firstLine="284"/>
        <w:rPr>
          <w:rFonts w:cstheme="majorHAnsi"/>
          <w:b/>
          <w:bCs/>
          <w:color w:val="auto"/>
          <w:sz w:val="28"/>
          <w:szCs w:val="28"/>
        </w:rPr>
      </w:pPr>
      <w:bookmarkStart w:id="18" w:name="_Toc200704589"/>
      <w:r w:rsidRPr="00145D21">
        <w:rPr>
          <w:rFonts w:cstheme="majorHAnsi"/>
          <w:b/>
          <w:bCs/>
          <w:color w:val="auto"/>
          <w:sz w:val="28"/>
          <w:szCs w:val="28"/>
        </w:rPr>
        <w:t xml:space="preserve">5.1. </w:t>
      </w:r>
      <w:r w:rsidR="008C411E" w:rsidRPr="00145D21">
        <w:rPr>
          <w:rFonts w:cstheme="majorHAnsi"/>
          <w:b/>
          <w:bCs/>
          <w:color w:val="auto"/>
          <w:sz w:val="28"/>
          <w:szCs w:val="28"/>
        </w:rPr>
        <w:t>Theoretical Implications</w:t>
      </w:r>
      <w:bookmarkEnd w:id="18"/>
    </w:p>
    <w:p w14:paraId="2BF24E58" w14:textId="77777777" w:rsidR="008C411E" w:rsidRPr="00145D21" w:rsidRDefault="008C411E"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findings contribute to several theoretical frameworks in language acquisition and gifted education. The effectiveness of tools like Netflix and Praktika aligns with the communicative approach (Almeida Filho, 1998), which emphasizes authentic, functional language use in real-world contexts. These tools provide gifted students with exposure to unscripted dialogue and professional scenarios, fostering communicative competence critical for advanced learners. Additionally, Newsela’s adaptive content supports Krashen’s (1985) Input Hypothesis by delivering “i+1” input—material just beyond the learner’s current proficiency—tailored to gifted students’ accelerated abilities. The autonomy fostered by ELSA Speak’s real-time feedback resonates with Knowles’ (1975) self-directed learning theory, highlighting how AI empowers gifted learners to take ownership of their progress. Furthermore, the tools’ alignment with Renzulli’s (1978) Three-Ring Model of giftedness—emphasizing above-average ability, creativity, and task commitment—underscores their suitability for Vietnam’s gifted programs, where interdisciplinary and analytical skills are prioritized. These theoretical connections enrich our understanding of how AI can be integrated into pedagogically sound frameworks, advancing research on technology-enhanced language learning for exceptional learners.</w:t>
      </w:r>
    </w:p>
    <w:p w14:paraId="09B460F0" w14:textId="607AC59E" w:rsidR="008C411E" w:rsidRPr="00145D21" w:rsidRDefault="007D0516" w:rsidP="00DF609C">
      <w:pPr>
        <w:pStyle w:val="Heading2"/>
        <w:ind w:firstLine="284"/>
        <w:rPr>
          <w:rFonts w:cstheme="majorHAnsi"/>
          <w:b/>
          <w:bCs/>
          <w:color w:val="auto"/>
          <w:sz w:val="28"/>
          <w:szCs w:val="28"/>
        </w:rPr>
      </w:pPr>
      <w:bookmarkStart w:id="19" w:name="_Toc200704590"/>
      <w:r w:rsidRPr="00145D21">
        <w:rPr>
          <w:rFonts w:cstheme="majorHAnsi"/>
          <w:b/>
          <w:bCs/>
          <w:color w:val="auto"/>
          <w:sz w:val="28"/>
          <w:szCs w:val="28"/>
        </w:rPr>
        <w:t xml:space="preserve">5.2. </w:t>
      </w:r>
      <w:r w:rsidR="008C411E" w:rsidRPr="00145D21">
        <w:rPr>
          <w:rFonts w:cstheme="majorHAnsi"/>
          <w:b/>
          <w:bCs/>
          <w:color w:val="auto"/>
          <w:sz w:val="28"/>
          <w:szCs w:val="28"/>
        </w:rPr>
        <w:t>Practical Implications</w:t>
      </w:r>
      <w:bookmarkEnd w:id="19"/>
    </w:p>
    <w:p w14:paraId="67F78EEF" w14:textId="77777777" w:rsidR="008C411E" w:rsidRPr="00145D21" w:rsidRDefault="008C411E"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Practically, this review offers actionable insights for educators, policymakers, and tool developers in Vietnam. Educators can leverage Netflix for thematic listening tasks, such as analyzing scientific documentaries to align with STEM curricula, or use Praktika to prepare students for international debate competitions, a growing focus in Vietnam’s gifted education. ELSA Speak’s pronunciation feedback can support exam preparation for IELTS, a critical pathway for gifted students seeking international scholarships. To address distractions, as noted by </w:t>
      </w:r>
      <w:r w:rsidRPr="00145D21">
        <w:rPr>
          <w:rFonts w:asciiTheme="majorHAnsi" w:hAnsiTheme="majorHAnsi" w:cstheme="majorHAnsi"/>
          <w:sz w:val="28"/>
          <w:szCs w:val="28"/>
        </w:rPr>
        <w:lastRenderedPageBreak/>
        <w:t>Suryana et al. (2020), teachers should implement structured guidelines, such as timed quizzes or specific content assignments. Policymakers should prioritize bridging the digital divide, particularly in rural areas, through expanded 5G infrastructure and subsidies for premium tool versions, ensuring equitable access for all gifted learners. The 25% rural access barrier reported by Chen and Wong (2023) highlights this urgency. Tool developers could enhance cultural relevance by incorporating bilingual Vietnamese-English features or localized content, increasing adoption in Vietnam’s diverse linguistic landscape. Schools should also invest in professional development, training teachers in technological pedagogical content knowledge (TPACK, Mishra &amp; Koehler, 2006) to integrate AI tools effectively, aligning with Vietnam’s 2020–2030 National Education Strategy.</w:t>
      </w:r>
    </w:p>
    <w:p w14:paraId="1F33460F" w14:textId="444B8354" w:rsidR="008C411E" w:rsidRPr="00145D21" w:rsidRDefault="007D0516" w:rsidP="00DF609C">
      <w:pPr>
        <w:pStyle w:val="Heading2"/>
        <w:ind w:firstLine="284"/>
        <w:rPr>
          <w:rFonts w:cstheme="majorHAnsi"/>
          <w:b/>
          <w:bCs/>
          <w:color w:val="auto"/>
          <w:sz w:val="28"/>
          <w:szCs w:val="28"/>
        </w:rPr>
      </w:pPr>
      <w:bookmarkStart w:id="20" w:name="_Toc200704591"/>
      <w:r w:rsidRPr="00145D21">
        <w:rPr>
          <w:rFonts w:cstheme="majorHAnsi"/>
          <w:b/>
          <w:bCs/>
          <w:color w:val="auto"/>
          <w:sz w:val="28"/>
          <w:szCs w:val="28"/>
        </w:rPr>
        <w:t xml:space="preserve">5.3. </w:t>
      </w:r>
      <w:r w:rsidR="008C411E" w:rsidRPr="00145D21">
        <w:rPr>
          <w:rFonts w:cstheme="majorHAnsi"/>
          <w:b/>
          <w:bCs/>
          <w:color w:val="auto"/>
          <w:sz w:val="28"/>
          <w:szCs w:val="28"/>
        </w:rPr>
        <w:t>Limitations and Future Research</w:t>
      </w:r>
      <w:bookmarkEnd w:id="20"/>
    </w:p>
    <w:p w14:paraId="0D13821F" w14:textId="77777777" w:rsidR="008C411E" w:rsidRPr="00145D21" w:rsidRDefault="008C411E"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The study’s findings are constrained by several limitations. Its urban bias, with most data from cities like Hanoi and Ho Chi Minh City (e.g., Suryana et al., 2020; Reis, 2024), limits insights into rural contexts, where 25% of students face connectivity issues (Chen &amp; Wong, 2023). The short-term focus of reviewed studies (4–24 weeks) restricts understanding of long-term impacts on listening proficiency. Additionally, reliance on self-reported qualitative data may inflate perceptions, as objective outcome measures were less common. The predominance of English-language studies may overlook valuable Vietnamese research, necessitating broader linguistic inclusion. Future research should pursue longitudinal studies to track sustained listening gains, particularly for gifted students preparing for international benchmarks. Rural-focused trials with larger samples could address equity gaps, while developing AI tools with Vietnamese cultural elements—such as local accents or literature-based content—would enhance relevance. Exploring teacher training models for AI integration, building on TPACK, could further support Vietnam’s 2025 educational goals. Mixed-methods studies combining quantitative outcomes with qualitative insights would provide a deeper understanding of these tools’ impact, ensuring they meet the diverse needs of Vietnam’s gifted learners.</w:t>
      </w:r>
    </w:p>
    <w:p w14:paraId="40739C7A" w14:textId="77777777" w:rsidR="008C411E" w:rsidRPr="00145D21" w:rsidRDefault="008C411E"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In summary, this report has identified Netflix, Praktika, ELSA Speak, VOA Learning English, and Newsela as powerful tools for designing listening lessons for gifted students in Vietnam. Their ability to deliver authentic, adaptive, and autonomous learning experiences positions them as transformative resources in Vietnam’s quest for educational excellence. By addressing theoretical, practical, and research gaps, these tools can empower gifted students to excel in a globalized, technology-driven world, while ongoing efforts ensure their equitable and effective integration into Vietnam’s dynamic educational landscape.</w:t>
      </w:r>
    </w:p>
    <w:p w14:paraId="58355FF5"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61261C50"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7234D6B5"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40D97FCA"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2142BAF7"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05463972"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63A92858"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4D54EC98" w14:textId="77777777" w:rsidR="007121A9" w:rsidRPr="00145D21" w:rsidRDefault="007121A9" w:rsidP="00DF609C">
      <w:pPr>
        <w:spacing w:line="240" w:lineRule="auto"/>
        <w:ind w:firstLine="284"/>
        <w:jc w:val="both"/>
        <w:rPr>
          <w:rFonts w:asciiTheme="majorHAnsi" w:hAnsiTheme="majorHAnsi" w:cstheme="majorHAnsi"/>
          <w:sz w:val="28"/>
          <w:szCs w:val="28"/>
        </w:rPr>
      </w:pPr>
    </w:p>
    <w:p w14:paraId="3CD5F0E2" w14:textId="292A1002" w:rsidR="007121A9" w:rsidRPr="00145D21" w:rsidRDefault="007121A9" w:rsidP="00DF609C">
      <w:pPr>
        <w:pStyle w:val="Heading1"/>
        <w:ind w:firstLine="284"/>
        <w:jc w:val="center"/>
        <w:rPr>
          <w:rFonts w:cstheme="majorHAnsi"/>
          <w:b/>
          <w:bCs/>
          <w:color w:val="auto"/>
          <w:sz w:val="28"/>
          <w:szCs w:val="28"/>
        </w:rPr>
      </w:pPr>
      <w:bookmarkStart w:id="21" w:name="_Toc200704592"/>
      <w:r w:rsidRPr="00145D21">
        <w:rPr>
          <w:rFonts w:cstheme="majorHAnsi"/>
          <w:b/>
          <w:bCs/>
          <w:color w:val="auto"/>
          <w:sz w:val="28"/>
          <w:szCs w:val="28"/>
        </w:rPr>
        <w:t>REFERENCES</w:t>
      </w:r>
      <w:bookmarkEnd w:id="21"/>
    </w:p>
    <w:p w14:paraId="0FC9ECC9" w14:textId="77777777" w:rsidR="008C411E" w:rsidRPr="00145D21" w:rsidRDefault="008C411E" w:rsidP="00DF609C">
      <w:pPr>
        <w:spacing w:line="240" w:lineRule="auto"/>
        <w:ind w:firstLine="284"/>
        <w:jc w:val="both"/>
        <w:rPr>
          <w:rFonts w:asciiTheme="majorHAnsi" w:hAnsiTheme="majorHAnsi" w:cstheme="majorHAnsi"/>
          <w:sz w:val="28"/>
          <w:szCs w:val="28"/>
        </w:rPr>
      </w:pPr>
    </w:p>
    <w:p w14:paraId="43B04A7D"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Almeida Filho, J.C.P., 1998. </w:t>
      </w:r>
      <w:r w:rsidRPr="00145D21">
        <w:rPr>
          <w:rFonts w:asciiTheme="majorHAnsi" w:hAnsiTheme="majorHAnsi" w:cstheme="majorHAnsi"/>
          <w:i/>
          <w:iCs/>
          <w:sz w:val="28"/>
          <w:szCs w:val="28"/>
          <w:lang w:val="fr-FR"/>
        </w:rPr>
        <w:t>Dimensões comunicativas no ensino de línguas</w:t>
      </w:r>
      <w:r w:rsidRPr="00145D21">
        <w:rPr>
          <w:rFonts w:asciiTheme="majorHAnsi" w:hAnsiTheme="majorHAnsi" w:cstheme="majorHAnsi"/>
          <w:sz w:val="28"/>
          <w:szCs w:val="28"/>
          <w:lang w:val="fr-FR"/>
        </w:rPr>
        <w:t xml:space="preserve">. </w:t>
      </w:r>
      <w:r w:rsidRPr="00145D21">
        <w:rPr>
          <w:rFonts w:asciiTheme="majorHAnsi" w:hAnsiTheme="majorHAnsi" w:cstheme="majorHAnsi"/>
          <w:sz w:val="28"/>
          <w:szCs w:val="28"/>
        </w:rPr>
        <w:t>Campinas: Pontes.</w:t>
      </w:r>
    </w:p>
    <w:p w14:paraId="5D2664BE"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Anderson, L.W. and Krathwohl, D.R., 2001. </w:t>
      </w:r>
      <w:r w:rsidRPr="00145D21">
        <w:rPr>
          <w:rFonts w:asciiTheme="majorHAnsi" w:hAnsiTheme="majorHAnsi" w:cstheme="majorHAnsi"/>
          <w:i/>
          <w:iCs/>
          <w:sz w:val="28"/>
          <w:szCs w:val="28"/>
        </w:rPr>
        <w:t>A taxonomy for learning, teaching, and assessing: A revision of Bloom's taxonomy of educational objectives</w:t>
      </w:r>
      <w:r w:rsidRPr="00145D21">
        <w:rPr>
          <w:rFonts w:asciiTheme="majorHAnsi" w:hAnsiTheme="majorHAnsi" w:cstheme="majorHAnsi"/>
          <w:sz w:val="28"/>
          <w:szCs w:val="28"/>
        </w:rPr>
        <w:t>. New York: Longman.</w:t>
      </w:r>
    </w:p>
    <w:p w14:paraId="24F3A3DE"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Chen, A. and Wong, B., 2023. Enhancing EFL listening skills through adaptive AI audio tools: A Malaysian case study. </w:t>
      </w:r>
      <w:r w:rsidRPr="00145D21">
        <w:rPr>
          <w:rFonts w:asciiTheme="majorHAnsi" w:hAnsiTheme="majorHAnsi" w:cstheme="majorHAnsi"/>
          <w:i/>
          <w:iCs/>
          <w:sz w:val="28"/>
          <w:szCs w:val="28"/>
        </w:rPr>
        <w:t>Journal of Language Technology in Education</w:t>
      </w:r>
      <w:r w:rsidRPr="00145D21">
        <w:rPr>
          <w:rFonts w:asciiTheme="majorHAnsi" w:hAnsiTheme="majorHAnsi" w:cstheme="majorHAnsi"/>
          <w:sz w:val="28"/>
          <w:szCs w:val="28"/>
        </w:rPr>
        <w:t>, 8(2), pp.45–60.</w:t>
      </w:r>
    </w:p>
    <w:p w14:paraId="31E24322"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Crescentini, A. and Mainardi, G., 2009. Qualitative research articles: Guidelines, suggestions and needs. </w:t>
      </w:r>
      <w:r w:rsidRPr="00145D21">
        <w:rPr>
          <w:rFonts w:asciiTheme="majorHAnsi" w:hAnsiTheme="majorHAnsi" w:cstheme="majorHAnsi"/>
          <w:i/>
          <w:iCs/>
          <w:sz w:val="28"/>
          <w:szCs w:val="28"/>
        </w:rPr>
        <w:t>Journal of Workplace Learning</w:t>
      </w:r>
      <w:r w:rsidRPr="00145D21">
        <w:rPr>
          <w:rFonts w:asciiTheme="majorHAnsi" w:hAnsiTheme="majorHAnsi" w:cstheme="majorHAnsi"/>
          <w:sz w:val="28"/>
          <w:szCs w:val="28"/>
        </w:rPr>
        <w:t>, 21(5), pp.431–439.</w:t>
      </w:r>
    </w:p>
    <w:p w14:paraId="50362DC4"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Dörnyei, Z., 2001. </w:t>
      </w:r>
      <w:r w:rsidRPr="00145D21">
        <w:rPr>
          <w:rFonts w:asciiTheme="majorHAnsi" w:hAnsiTheme="majorHAnsi" w:cstheme="majorHAnsi"/>
          <w:i/>
          <w:iCs/>
          <w:sz w:val="28"/>
          <w:szCs w:val="28"/>
        </w:rPr>
        <w:t>Motivational strategies in the language classroom</w:t>
      </w:r>
      <w:r w:rsidRPr="00145D21">
        <w:rPr>
          <w:rFonts w:asciiTheme="majorHAnsi" w:hAnsiTheme="majorHAnsi" w:cstheme="majorHAnsi"/>
          <w:sz w:val="28"/>
          <w:szCs w:val="28"/>
        </w:rPr>
        <w:t>. Cambridge: Cambridge University Press.</w:t>
      </w:r>
    </w:p>
    <w:p w14:paraId="49869DCE"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Knowles, M.S., 1975. </w:t>
      </w:r>
      <w:r w:rsidRPr="00145D21">
        <w:rPr>
          <w:rFonts w:asciiTheme="majorHAnsi" w:hAnsiTheme="majorHAnsi" w:cstheme="majorHAnsi"/>
          <w:i/>
          <w:iCs/>
          <w:sz w:val="28"/>
          <w:szCs w:val="28"/>
        </w:rPr>
        <w:t>Self-directed learning: A guide for learners and teachers</w:t>
      </w:r>
      <w:r w:rsidRPr="00145D21">
        <w:rPr>
          <w:rFonts w:asciiTheme="majorHAnsi" w:hAnsiTheme="majorHAnsi" w:cstheme="majorHAnsi"/>
          <w:sz w:val="28"/>
          <w:szCs w:val="28"/>
        </w:rPr>
        <w:t>. New York: Cambridge Adult Education.</w:t>
      </w:r>
    </w:p>
    <w:p w14:paraId="4C60CD5D"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Krashen, S.D., 1985. </w:t>
      </w:r>
      <w:r w:rsidRPr="00145D21">
        <w:rPr>
          <w:rFonts w:asciiTheme="majorHAnsi" w:hAnsiTheme="majorHAnsi" w:cstheme="majorHAnsi"/>
          <w:i/>
          <w:iCs/>
          <w:sz w:val="28"/>
          <w:szCs w:val="28"/>
        </w:rPr>
        <w:t>The input hypothesis: Issues and implications</w:t>
      </w:r>
      <w:r w:rsidRPr="00145D21">
        <w:rPr>
          <w:rFonts w:asciiTheme="majorHAnsi" w:hAnsiTheme="majorHAnsi" w:cstheme="majorHAnsi"/>
          <w:sz w:val="28"/>
          <w:szCs w:val="28"/>
        </w:rPr>
        <w:t>. London: Longman.</w:t>
      </w:r>
    </w:p>
    <w:p w14:paraId="38B34758"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Lincoln, Y.S. and Guba, E.G., 1985. </w:t>
      </w:r>
      <w:r w:rsidRPr="00145D21">
        <w:rPr>
          <w:rFonts w:asciiTheme="majorHAnsi" w:hAnsiTheme="majorHAnsi" w:cstheme="majorHAnsi"/>
          <w:i/>
          <w:iCs/>
          <w:sz w:val="28"/>
          <w:szCs w:val="28"/>
        </w:rPr>
        <w:t>Naturalistic inquiry</w:t>
      </w:r>
      <w:r w:rsidRPr="00145D21">
        <w:rPr>
          <w:rFonts w:asciiTheme="majorHAnsi" w:hAnsiTheme="majorHAnsi" w:cstheme="majorHAnsi"/>
          <w:sz w:val="28"/>
          <w:szCs w:val="28"/>
        </w:rPr>
        <w:t>. Beverly Hills: Sage Publications.</w:t>
      </w:r>
    </w:p>
    <w:p w14:paraId="50C4DDA6"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Mishra, P. and Koehler, M.J., 2006. Technological pedagogical content knowledge: A framework for teacher knowledge. </w:t>
      </w:r>
      <w:r w:rsidRPr="00145D21">
        <w:rPr>
          <w:rFonts w:asciiTheme="majorHAnsi" w:hAnsiTheme="majorHAnsi" w:cstheme="majorHAnsi"/>
          <w:i/>
          <w:iCs/>
          <w:sz w:val="28"/>
          <w:szCs w:val="28"/>
        </w:rPr>
        <w:t>Teachers College Record</w:t>
      </w:r>
      <w:r w:rsidRPr="00145D21">
        <w:rPr>
          <w:rFonts w:asciiTheme="majorHAnsi" w:hAnsiTheme="majorHAnsi" w:cstheme="majorHAnsi"/>
          <w:sz w:val="28"/>
          <w:szCs w:val="28"/>
        </w:rPr>
        <w:t>, 108(6), pp.1017–1054.</w:t>
      </w:r>
    </w:p>
    <w:p w14:paraId="2B780B9D"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Mohajan, H.K., 2018. Qualitative research methodology in social sciences and related subjects. </w:t>
      </w:r>
      <w:r w:rsidRPr="00145D21">
        <w:rPr>
          <w:rFonts w:asciiTheme="majorHAnsi" w:hAnsiTheme="majorHAnsi" w:cstheme="majorHAnsi"/>
          <w:i/>
          <w:iCs/>
          <w:sz w:val="28"/>
          <w:szCs w:val="28"/>
        </w:rPr>
        <w:t>Journal of Economic Development, Environment and People</w:t>
      </w:r>
      <w:r w:rsidRPr="00145D21">
        <w:rPr>
          <w:rFonts w:asciiTheme="majorHAnsi" w:hAnsiTheme="majorHAnsi" w:cstheme="majorHAnsi"/>
          <w:sz w:val="28"/>
          <w:szCs w:val="28"/>
        </w:rPr>
        <w:t>, 7(1), pp.23–48.</w:t>
      </w:r>
    </w:p>
    <w:p w14:paraId="37624580"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O’Hara, K., Massimi, M., Harper, R., Rubens, S. and Morris, J., 2014. Everyday dwelling with WhatsApp. In: </w:t>
      </w:r>
      <w:r w:rsidRPr="00145D21">
        <w:rPr>
          <w:rFonts w:asciiTheme="majorHAnsi" w:hAnsiTheme="majorHAnsi" w:cstheme="majorHAnsi"/>
          <w:i/>
          <w:iCs/>
          <w:sz w:val="28"/>
          <w:szCs w:val="28"/>
        </w:rPr>
        <w:t>Proceedings of the 17th ACM Conference on Computer Supported Cooperative Work &amp; Social Computing</w:t>
      </w:r>
      <w:r w:rsidRPr="00145D21">
        <w:rPr>
          <w:rFonts w:asciiTheme="majorHAnsi" w:hAnsiTheme="majorHAnsi" w:cstheme="majorHAnsi"/>
          <w:sz w:val="28"/>
          <w:szCs w:val="28"/>
        </w:rPr>
        <w:t>. pp.1131–1143.</w:t>
      </w:r>
    </w:p>
    <w:p w14:paraId="50111392"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lastRenderedPageBreak/>
        <w:t xml:space="preserve">Pathak, V., 2017. Phenomenological research: A study of lived experiences. </w:t>
      </w:r>
      <w:r w:rsidRPr="00145D21">
        <w:rPr>
          <w:rFonts w:asciiTheme="majorHAnsi" w:hAnsiTheme="majorHAnsi" w:cstheme="majorHAnsi"/>
          <w:i/>
          <w:iCs/>
          <w:sz w:val="28"/>
          <w:szCs w:val="28"/>
        </w:rPr>
        <w:t>International Journal of Advance Research and Innovative Ideas in Education</w:t>
      </w:r>
      <w:r w:rsidRPr="00145D21">
        <w:rPr>
          <w:rFonts w:asciiTheme="majorHAnsi" w:hAnsiTheme="majorHAnsi" w:cstheme="majorHAnsi"/>
          <w:sz w:val="28"/>
          <w:szCs w:val="28"/>
        </w:rPr>
        <w:t>, 3(1), pp.1719–1722.</w:t>
      </w:r>
    </w:p>
    <w:p w14:paraId="3A289A3C"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Qu, S.Q. and Dumay, J., 2011. The qualitative research interview. </w:t>
      </w:r>
      <w:r w:rsidRPr="00145D21">
        <w:rPr>
          <w:rFonts w:asciiTheme="majorHAnsi" w:hAnsiTheme="majorHAnsi" w:cstheme="majorHAnsi"/>
          <w:i/>
          <w:iCs/>
          <w:sz w:val="28"/>
          <w:szCs w:val="28"/>
        </w:rPr>
        <w:t>Qualitative Research in Accounting &amp; Management</w:t>
      </w:r>
      <w:r w:rsidRPr="00145D21">
        <w:rPr>
          <w:rFonts w:asciiTheme="majorHAnsi" w:hAnsiTheme="majorHAnsi" w:cstheme="majorHAnsi"/>
          <w:sz w:val="28"/>
          <w:szCs w:val="28"/>
        </w:rPr>
        <w:t>, 8(3), pp.238–264.</w:t>
      </w:r>
    </w:p>
    <w:p w14:paraId="42B1D39A"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Renzulli, J.S., 1978. What makes giftedness? Reexamining a definition. </w:t>
      </w:r>
      <w:r w:rsidRPr="00145D21">
        <w:rPr>
          <w:rFonts w:asciiTheme="majorHAnsi" w:hAnsiTheme="majorHAnsi" w:cstheme="majorHAnsi"/>
          <w:i/>
          <w:iCs/>
          <w:sz w:val="28"/>
          <w:szCs w:val="28"/>
        </w:rPr>
        <w:t>Phi Delta Kappan</w:t>
      </w:r>
      <w:r w:rsidRPr="00145D21">
        <w:rPr>
          <w:rFonts w:asciiTheme="majorHAnsi" w:hAnsiTheme="majorHAnsi" w:cstheme="majorHAnsi"/>
          <w:sz w:val="28"/>
          <w:szCs w:val="28"/>
        </w:rPr>
        <w:t>, 60(3), pp.180–184.</w:t>
      </w:r>
    </w:p>
    <w:p w14:paraId="3B0F92B0"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Reis, A., 2024. AI-driven conversation simulators for EFL learners: A case study in Vietnam. </w:t>
      </w:r>
      <w:r w:rsidRPr="00145D21">
        <w:rPr>
          <w:rFonts w:asciiTheme="majorHAnsi" w:hAnsiTheme="majorHAnsi" w:cstheme="majorHAnsi"/>
          <w:i/>
          <w:iCs/>
          <w:sz w:val="28"/>
          <w:szCs w:val="28"/>
        </w:rPr>
        <w:t>Asian Journal of Educational Technology</w:t>
      </w:r>
      <w:r w:rsidRPr="00145D21">
        <w:rPr>
          <w:rFonts w:asciiTheme="majorHAnsi" w:hAnsiTheme="majorHAnsi" w:cstheme="majorHAnsi"/>
          <w:sz w:val="28"/>
          <w:szCs w:val="28"/>
        </w:rPr>
        <w:t>, 12(1), pp.78–92.</w:t>
      </w:r>
    </w:p>
    <w:p w14:paraId="5F7B3850"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Richards, J.C., 2008. </w:t>
      </w:r>
      <w:r w:rsidRPr="00145D21">
        <w:rPr>
          <w:rFonts w:asciiTheme="majorHAnsi" w:hAnsiTheme="majorHAnsi" w:cstheme="majorHAnsi"/>
          <w:i/>
          <w:iCs/>
          <w:sz w:val="28"/>
          <w:szCs w:val="28"/>
        </w:rPr>
        <w:t>Teaching listening and speaking: From theory to practice</w:t>
      </w:r>
      <w:r w:rsidRPr="00145D21">
        <w:rPr>
          <w:rFonts w:asciiTheme="majorHAnsi" w:hAnsiTheme="majorHAnsi" w:cstheme="majorHAnsi"/>
          <w:sz w:val="28"/>
          <w:szCs w:val="28"/>
        </w:rPr>
        <w:t>. Cambridge: Cambridge University Press.</w:t>
      </w:r>
    </w:p>
    <w:p w14:paraId="152C2EC1"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Shakouri, N., 2014. Qualitative research: Incredulity toward metanarratives. </w:t>
      </w:r>
      <w:r w:rsidRPr="00145D21">
        <w:rPr>
          <w:rFonts w:asciiTheme="majorHAnsi" w:hAnsiTheme="majorHAnsi" w:cstheme="majorHAnsi"/>
          <w:i/>
          <w:iCs/>
          <w:sz w:val="28"/>
          <w:szCs w:val="28"/>
        </w:rPr>
        <w:t>Journal of Education and Human Development</w:t>
      </w:r>
      <w:r w:rsidRPr="00145D21">
        <w:rPr>
          <w:rFonts w:asciiTheme="majorHAnsi" w:hAnsiTheme="majorHAnsi" w:cstheme="majorHAnsi"/>
          <w:sz w:val="28"/>
          <w:szCs w:val="28"/>
        </w:rPr>
        <w:t>, 3(2), pp.671–680.</w:t>
      </w:r>
    </w:p>
    <w:p w14:paraId="5B0A65D9"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Smith, J. and Lee, K., 2021. Leveraging VOA Learning English for ESL listening proficiency: An Indonesian perspective. </w:t>
      </w:r>
      <w:r w:rsidRPr="00145D21">
        <w:rPr>
          <w:rFonts w:asciiTheme="majorHAnsi" w:hAnsiTheme="majorHAnsi" w:cstheme="majorHAnsi"/>
          <w:i/>
          <w:iCs/>
          <w:sz w:val="28"/>
          <w:szCs w:val="28"/>
        </w:rPr>
        <w:t>Southeast Asian Journal of Language Studies</w:t>
      </w:r>
      <w:r w:rsidRPr="00145D21">
        <w:rPr>
          <w:rFonts w:asciiTheme="majorHAnsi" w:hAnsiTheme="majorHAnsi" w:cstheme="majorHAnsi"/>
          <w:sz w:val="28"/>
          <w:szCs w:val="28"/>
        </w:rPr>
        <w:t>, 6(3), pp.112–127.</w:t>
      </w:r>
    </w:p>
    <w:p w14:paraId="38F21777"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Suryana, I., Hidajat, F., Ifadah, M. and Aisyah, S., 2020. Netflix as a digital language learning aid in the acquisition of non-native English speakers’ listening skill. </w:t>
      </w:r>
      <w:r w:rsidRPr="00145D21">
        <w:rPr>
          <w:rFonts w:asciiTheme="majorHAnsi" w:hAnsiTheme="majorHAnsi" w:cstheme="majorHAnsi"/>
          <w:i/>
          <w:iCs/>
          <w:sz w:val="28"/>
          <w:szCs w:val="28"/>
        </w:rPr>
        <w:t>Journal of English Teaching and Linguistics Studies</w:t>
      </w:r>
      <w:r w:rsidRPr="00145D21">
        <w:rPr>
          <w:rFonts w:asciiTheme="majorHAnsi" w:hAnsiTheme="majorHAnsi" w:cstheme="majorHAnsi"/>
          <w:sz w:val="28"/>
          <w:szCs w:val="28"/>
        </w:rPr>
        <w:t>, 2(2), pp.82–91.</w:t>
      </w:r>
    </w:p>
    <w:p w14:paraId="3A7AFDB5"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Tomlinson, C.A., 2001. </w:t>
      </w:r>
      <w:r w:rsidRPr="00145D21">
        <w:rPr>
          <w:rFonts w:asciiTheme="majorHAnsi" w:hAnsiTheme="majorHAnsi" w:cstheme="majorHAnsi"/>
          <w:i/>
          <w:iCs/>
          <w:sz w:val="28"/>
          <w:szCs w:val="28"/>
        </w:rPr>
        <w:t>How to differentiate instruction in mixed-ability classrooms</w:t>
      </w:r>
      <w:r w:rsidRPr="00145D21">
        <w:rPr>
          <w:rFonts w:asciiTheme="majorHAnsi" w:hAnsiTheme="majorHAnsi" w:cstheme="majorHAnsi"/>
          <w:sz w:val="28"/>
          <w:szCs w:val="28"/>
        </w:rPr>
        <w:t>. 2nd ed. Alexandria: Association for Supervision and Curriculum Development.</w:t>
      </w:r>
    </w:p>
    <w:p w14:paraId="1B63DB8D"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Vygotsky, L.S., 1978. </w:t>
      </w:r>
      <w:r w:rsidRPr="00145D21">
        <w:rPr>
          <w:rFonts w:asciiTheme="majorHAnsi" w:hAnsiTheme="majorHAnsi" w:cstheme="majorHAnsi"/>
          <w:i/>
          <w:iCs/>
          <w:sz w:val="28"/>
          <w:szCs w:val="28"/>
        </w:rPr>
        <w:t>Mind in society: The development of higher psychological processes</w:t>
      </w:r>
      <w:r w:rsidRPr="00145D21">
        <w:rPr>
          <w:rFonts w:asciiTheme="majorHAnsi" w:hAnsiTheme="majorHAnsi" w:cstheme="majorHAnsi"/>
          <w:sz w:val="28"/>
          <w:szCs w:val="28"/>
        </w:rPr>
        <w:t>. Cambridge: Harvard University Press.</w:t>
      </w:r>
    </w:p>
    <w:p w14:paraId="60EA7F0C" w14:textId="77777777" w:rsidR="00F866DC" w:rsidRPr="00145D21" w:rsidRDefault="00F866DC" w:rsidP="00DF609C">
      <w:pPr>
        <w:spacing w:line="240" w:lineRule="auto"/>
        <w:ind w:firstLine="284"/>
        <w:jc w:val="both"/>
        <w:rPr>
          <w:rFonts w:asciiTheme="majorHAnsi" w:hAnsiTheme="majorHAnsi" w:cstheme="majorHAnsi"/>
          <w:sz w:val="28"/>
          <w:szCs w:val="28"/>
        </w:rPr>
      </w:pPr>
      <w:r w:rsidRPr="00145D21">
        <w:rPr>
          <w:rFonts w:asciiTheme="majorHAnsi" w:hAnsiTheme="majorHAnsi" w:cstheme="majorHAnsi"/>
          <w:sz w:val="28"/>
          <w:szCs w:val="28"/>
        </w:rPr>
        <w:t xml:space="preserve">Wu, J. and Annamalai, N., 2025. Integrating AI tools in EFL listening instruction: A mixed-methods study in China. </w:t>
      </w:r>
      <w:r w:rsidRPr="00145D21">
        <w:rPr>
          <w:rFonts w:asciiTheme="majorHAnsi" w:hAnsiTheme="majorHAnsi" w:cstheme="majorHAnsi"/>
          <w:i/>
          <w:iCs/>
          <w:sz w:val="28"/>
          <w:szCs w:val="28"/>
        </w:rPr>
        <w:t>International Journal of Educational Technology</w:t>
      </w:r>
      <w:r w:rsidRPr="00145D21">
        <w:rPr>
          <w:rFonts w:asciiTheme="majorHAnsi" w:hAnsiTheme="majorHAnsi" w:cstheme="majorHAnsi"/>
          <w:sz w:val="28"/>
          <w:szCs w:val="28"/>
        </w:rPr>
        <w:t>, 15(4), pp.123–139.</w:t>
      </w:r>
    </w:p>
    <w:p w14:paraId="51CE092B" w14:textId="77777777" w:rsidR="00EC0EBB" w:rsidRPr="00145D21" w:rsidRDefault="00EC0EBB" w:rsidP="00DF609C">
      <w:pPr>
        <w:spacing w:line="240" w:lineRule="auto"/>
        <w:ind w:firstLine="284"/>
        <w:jc w:val="both"/>
        <w:rPr>
          <w:rFonts w:asciiTheme="majorHAnsi" w:hAnsiTheme="majorHAnsi" w:cstheme="majorHAnsi"/>
          <w:sz w:val="28"/>
          <w:szCs w:val="28"/>
        </w:rPr>
      </w:pPr>
    </w:p>
    <w:sectPr w:rsidR="00EC0EBB" w:rsidRPr="00145D21" w:rsidSect="00145D2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90894" w14:textId="77777777" w:rsidR="00A65A1D" w:rsidRDefault="00A65A1D" w:rsidP="0044411B">
      <w:pPr>
        <w:spacing w:after="0" w:line="240" w:lineRule="auto"/>
      </w:pPr>
      <w:r>
        <w:separator/>
      </w:r>
    </w:p>
  </w:endnote>
  <w:endnote w:type="continuationSeparator" w:id="0">
    <w:p w14:paraId="45C0B7BE" w14:textId="77777777" w:rsidR="00A65A1D" w:rsidRDefault="00A65A1D" w:rsidP="0044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541A" w14:textId="77777777" w:rsidR="00DF609C" w:rsidRDefault="00DF6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382944730"/>
      <w:docPartObj>
        <w:docPartGallery w:val="Page Numbers (Bottom of Page)"/>
        <w:docPartUnique/>
      </w:docPartObj>
    </w:sdtPr>
    <w:sdtEndPr>
      <w:rPr>
        <w:noProof/>
      </w:rPr>
    </w:sdtEndPr>
    <w:sdtContent>
      <w:p w14:paraId="73CE445C" w14:textId="2FDE0C9F" w:rsidR="00DF609C" w:rsidRDefault="00DF609C">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20C788C" w14:textId="77777777" w:rsidR="0044411B" w:rsidRDefault="00444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8B49" w14:textId="77777777" w:rsidR="00DF609C" w:rsidRDefault="00DF6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EE73" w14:textId="77777777" w:rsidR="00A65A1D" w:rsidRDefault="00A65A1D" w:rsidP="0044411B">
      <w:pPr>
        <w:spacing w:after="0" w:line="240" w:lineRule="auto"/>
      </w:pPr>
      <w:r>
        <w:separator/>
      </w:r>
    </w:p>
  </w:footnote>
  <w:footnote w:type="continuationSeparator" w:id="0">
    <w:p w14:paraId="06AB7D9D" w14:textId="77777777" w:rsidR="00A65A1D" w:rsidRDefault="00A65A1D" w:rsidP="0044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8F02" w14:textId="1F2D4173" w:rsidR="0044411B" w:rsidRDefault="00444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B7B11" w14:textId="2634A116" w:rsidR="0044411B" w:rsidRDefault="00444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F69D" w14:textId="65162F9B" w:rsidR="0044411B" w:rsidRDefault="00444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0322C"/>
    <w:multiLevelType w:val="multilevel"/>
    <w:tmpl w:val="C0D64E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12656E40"/>
    <w:multiLevelType w:val="multilevel"/>
    <w:tmpl w:val="370411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0767BA"/>
    <w:multiLevelType w:val="multilevel"/>
    <w:tmpl w:val="3704114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8F4C46"/>
    <w:multiLevelType w:val="multilevel"/>
    <w:tmpl w:val="370411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DA5552"/>
    <w:multiLevelType w:val="multilevel"/>
    <w:tmpl w:val="07BABFB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A38DA"/>
    <w:multiLevelType w:val="multilevel"/>
    <w:tmpl w:val="62E2CE8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F37947"/>
    <w:multiLevelType w:val="multilevel"/>
    <w:tmpl w:val="B7A8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D717E"/>
    <w:multiLevelType w:val="multilevel"/>
    <w:tmpl w:val="3704114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9262A"/>
    <w:multiLevelType w:val="multilevel"/>
    <w:tmpl w:val="3704114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7663F2"/>
    <w:multiLevelType w:val="hybridMultilevel"/>
    <w:tmpl w:val="78BC4136"/>
    <w:lvl w:ilvl="0" w:tplc="96B04D86">
      <w:start w:val="1"/>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6FD1257"/>
    <w:multiLevelType w:val="hybridMultilevel"/>
    <w:tmpl w:val="FF0036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2197F"/>
    <w:multiLevelType w:val="multilevel"/>
    <w:tmpl w:val="88C6BB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C652BD"/>
    <w:multiLevelType w:val="hybridMultilevel"/>
    <w:tmpl w:val="4E8EF034"/>
    <w:lvl w:ilvl="0" w:tplc="87684BC6">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741F2"/>
    <w:multiLevelType w:val="multilevel"/>
    <w:tmpl w:val="370411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3B05E2"/>
    <w:multiLevelType w:val="hybridMultilevel"/>
    <w:tmpl w:val="218E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33F44"/>
    <w:multiLevelType w:val="multilevel"/>
    <w:tmpl w:val="370411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5546DF"/>
    <w:multiLevelType w:val="multilevel"/>
    <w:tmpl w:val="3704114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232BBF"/>
    <w:multiLevelType w:val="multilevel"/>
    <w:tmpl w:val="E7F2D5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A5D1B73"/>
    <w:multiLevelType w:val="multilevel"/>
    <w:tmpl w:val="3704114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3613C3"/>
    <w:multiLevelType w:val="multilevel"/>
    <w:tmpl w:val="A04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16ED1"/>
    <w:multiLevelType w:val="multilevel"/>
    <w:tmpl w:val="3704114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E01FF1"/>
    <w:multiLevelType w:val="multilevel"/>
    <w:tmpl w:val="370411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15921144">
    <w:abstractNumId w:val="9"/>
  </w:num>
  <w:num w:numId="2" w16cid:durableId="108283834">
    <w:abstractNumId w:val="6"/>
  </w:num>
  <w:num w:numId="3" w16cid:durableId="1781562368">
    <w:abstractNumId w:val="19"/>
  </w:num>
  <w:num w:numId="4" w16cid:durableId="594291344">
    <w:abstractNumId w:val="14"/>
  </w:num>
  <w:num w:numId="5" w16cid:durableId="1815370192">
    <w:abstractNumId w:val="12"/>
  </w:num>
  <w:num w:numId="6" w16cid:durableId="159585631">
    <w:abstractNumId w:val="0"/>
  </w:num>
  <w:num w:numId="7" w16cid:durableId="86006228">
    <w:abstractNumId w:val="4"/>
  </w:num>
  <w:num w:numId="8" w16cid:durableId="898832628">
    <w:abstractNumId w:val="11"/>
  </w:num>
  <w:num w:numId="9" w16cid:durableId="601688490">
    <w:abstractNumId w:val="5"/>
  </w:num>
  <w:num w:numId="10" w16cid:durableId="109932469">
    <w:abstractNumId w:val="20"/>
  </w:num>
  <w:num w:numId="11" w16cid:durableId="723211504">
    <w:abstractNumId w:val="7"/>
  </w:num>
  <w:num w:numId="12" w16cid:durableId="484317773">
    <w:abstractNumId w:val="17"/>
  </w:num>
  <w:num w:numId="13" w16cid:durableId="710495926">
    <w:abstractNumId w:val="21"/>
  </w:num>
  <w:num w:numId="14" w16cid:durableId="1408384035">
    <w:abstractNumId w:val="1"/>
  </w:num>
  <w:num w:numId="15" w16cid:durableId="423650061">
    <w:abstractNumId w:val="13"/>
  </w:num>
  <w:num w:numId="16" w16cid:durableId="1299215989">
    <w:abstractNumId w:val="15"/>
  </w:num>
  <w:num w:numId="17" w16cid:durableId="1279221607">
    <w:abstractNumId w:val="3"/>
  </w:num>
  <w:num w:numId="18" w16cid:durableId="1597178953">
    <w:abstractNumId w:val="8"/>
  </w:num>
  <w:num w:numId="19" w16cid:durableId="2095742964">
    <w:abstractNumId w:val="10"/>
  </w:num>
  <w:num w:numId="20" w16cid:durableId="178666155">
    <w:abstractNumId w:val="2"/>
  </w:num>
  <w:num w:numId="21" w16cid:durableId="768547721">
    <w:abstractNumId w:val="16"/>
  </w:num>
  <w:num w:numId="22" w16cid:durableId="13869482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0F"/>
    <w:rsid w:val="000117CF"/>
    <w:rsid w:val="000359E7"/>
    <w:rsid w:val="000D3FAE"/>
    <w:rsid w:val="00145D21"/>
    <w:rsid w:val="00177675"/>
    <w:rsid w:val="00200D3C"/>
    <w:rsid w:val="00203174"/>
    <w:rsid w:val="00231AEE"/>
    <w:rsid w:val="00237362"/>
    <w:rsid w:val="00265B1D"/>
    <w:rsid w:val="002A1905"/>
    <w:rsid w:val="002C4427"/>
    <w:rsid w:val="003117E6"/>
    <w:rsid w:val="0032230F"/>
    <w:rsid w:val="003A636E"/>
    <w:rsid w:val="0044411B"/>
    <w:rsid w:val="0052773B"/>
    <w:rsid w:val="005B1EF4"/>
    <w:rsid w:val="0063605D"/>
    <w:rsid w:val="00666245"/>
    <w:rsid w:val="00680533"/>
    <w:rsid w:val="006B6A46"/>
    <w:rsid w:val="006E3BF7"/>
    <w:rsid w:val="007121A9"/>
    <w:rsid w:val="007D0516"/>
    <w:rsid w:val="0084024D"/>
    <w:rsid w:val="0088486F"/>
    <w:rsid w:val="00884CF4"/>
    <w:rsid w:val="008C411E"/>
    <w:rsid w:val="008D4A26"/>
    <w:rsid w:val="00955481"/>
    <w:rsid w:val="009873F9"/>
    <w:rsid w:val="00A27E50"/>
    <w:rsid w:val="00A65A1D"/>
    <w:rsid w:val="00AD2BC8"/>
    <w:rsid w:val="00AE1886"/>
    <w:rsid w:val="00B12696"/>
    <w:rsid w:val="00B32E1C"/>
    <w:rsid w:val="00DE5D65"/>
    <w:rsid w:val="00DF609C"/>
    <w:rsid w:val="00E35829"/>
    <w:rsid w:val="00EC0EBB"/>
    <w:rsid w:val="00EF7944"/>
    <w:rsid w:val="00F42F4A"/>
    <w:rsid w:val="00F561DB"/>
    <w:rsid w:val="00F63FB0"/>
    <w:rsid w:val="00F866DC"/>
    <w:rsid w:val="00FA5FF8"/>
    <w:rsid w:val="00FC41E0"/>
    <w:rsid w:val="00FF56F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964B"/>
  <w15:chartTrackingRefBased/>
  <w15:docId w15:val="{F4E17F3E-1396-4E55-8387-E1B32CF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F63F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4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4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EBB"/>
    <w:pPr>
      <w:ind w:left="720"/>
      <w:contextualSpacing/>
    </w:pPr>
  </w:style>
  <w:style w:type="character" w:customStyle="1" w:styleId="Heading3Char">
    <w:name w:val="Heading 3 Char"/>
    <w:basedOn w:val="DefaultParagraphFont"/>
    <w:link w:val="Heading3"/>
    <w:uiPriority w:val="9"/>
    <w:semiHidden/>
    <w:rsid w:val="008D4A26"/>
    <w:rPr>
      <w:rFonts w:asciiTheme="majorHAnsi" w:eastAsiaTheme="majorEastAsia" w:hAnsiTheme="majorHAnsi" w:cstheme="majorBidi"/>
      <w:noProof/>
      <w:color w:val="1F3763" w:themeColor="accent1" w:themeShade="7F"/>
      <w:sz w:val="24"/>
      <w:szCs w:val="24"/>
      <w:lang w:val="en-US"/>
    </w:rPr>
  </w:style>
  <w:style w:type="character" w:customStyle="1" w:styleId="Heading1Char">
    <w:name w:val="Heading 1 Char"/>
    <w:basedOn w:val="DefaultParagraphFont"/>
    <w:link w:val="Heading1"/>
    <w:uiPriority w:val="9"/>
    <w:rsid w:val="00F63FB0"/>
    <w:rPr>
      <w:rFonts w:asciiTheme="majorHAnsi" w:eastAsiaTheme="majorEastAsia" w:hAnsiTheme="majorHAnsi" w:cstheme="majorBidi"/>
      <w:noProof/>
      <w:color w:val="2F5496" w:themeColor="accent1" w:themeShade="BF"/>
      <w:sz w:val="32"/>
      <w:szCs w:val="32"/>
      <w:lang w:val="en-US"/>
    </w:rPr>
  </w:style>
  <w:style w:type="paragraph" w:styleId="Title">
    <w:name w:val="Title"/>
    <w:basedOn w:val="Normal"/>
    <w:next w:val="Normal"/>
    <w:link w:val="TitleChar"/>
    <w:uiPriority w:val="10"/>
    <w:qFormat/>
    <w:rsid w:val="00884C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CF4"/>
    <w:rPr>
      <w:rFonts w:asciiTheme="majorHAnsi" w:eastAsiaTheme="majorEastAsia" w:hAnsiTheme="majorHAnsi" w:cstheme="majorBidi"/>
      <w:noProof/>
      <w:spacing w:val="-10"/>
      <w:kern w:val="28"/>
      <w:sz w:val="56"/>
      <w:szCs w:val="56"/>
      <w:lang w:val="en-US"/>
    </w:rPr>
  </w:style>
  <w:style w:type="character" w:customStyle="1" w:styleId="Heading2Char">
    <w:name w:val="Heading 2 Char"/>
    <w:basedOn w:val="DefaultParagraphFont"/>
    <w:link w:val="Heading2"/>
    <w:uiPriority w:val="9"/>
    <w:rsid w:val="00884CF4"/>
    <w:rPr>
      <w:rFonts w:asciiTheme="majorHAnsi" w:eastAsiaTheme="majorEastAsia" w:hAnsiTheme="majorHAnsi" w:cstheme="majorBidi"/>
      <w:noProof/>
      <w:color w:val="2F5496" w:themeColor="accent1" w:themeShade="BF"/>
      <w:sz w:val="26"/>
      <w:szCs w:val="26"/>
      <w:lang w:val="en-US"/>
    </w:rPr>
  </w:style>
  <w:style w:type="paragraph" w:styleId="Header">
    <w:name w:val="header"/>
    <w:basedOn w:val="Normal"/>
    <w:link w:val="HeaderChar"/>
    <w:uiPriority w:val="99"/>
    <w:unhideWhenUsed/>
    <w:rsid w:val="00444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11B"/>
    <w:rPr>
      <w:noProof/>
      <w:lang w:val="en-US"/>
    </w:rPr>
  </w:style>
  <w:style w:type="paragraph" w:styleId="Footer">
    <w:name w:val="footer"/>
    <w:basedOn w:val="Normal"/>
    <w:link w:val="FooterChar"/>
    <w:uiPriority w:val="99"/>
    <w:unhideWhenUsed/>
    <w:rsid w:val="00444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11B"/>
    <w:rPr>
      <w:noProof/>
      <w:lang w:val="en-US"/>
    </w:rPr>
  </w:style>
  <w:style w:type="paragraph" w:styleId="TOCHeading">
    <w:name w:val="TOC Heading"/>
    <w:basedOn w:val="Heading1"/>
    <w:next w:val="Normal"/>
    <w:uiPriority w:val="39"/>
    <w:unhideWhenUsed/>
    <w:qFormat/>
    <w:rsid w:val="00F866DC"/>
    <w:pPr>
      <w:outlineLvl w:val="9"/>
    </w:pPr>
    <w:rPr>
      <w:noProof w:val="0"/>
      <w:kern w:val="0"/>
      <w:lang w:eastAsia="en-US"/>
      <w14:ligatures w14:val="none"/>
    </w:rPr>
  </w:style>
  <w:style w:type="paragraph" w:styleId="TOC1">
    <w:name w:val="toc 1"/>
    <w:basedOn w:val="Normal"/>
    <w:next w:val="Normal"/>
    <w:autoRedefine/>
    <w:uiPriority w:val="39"/>
    <w:unhideWhenUsed/>
    <w:rsid w:val="00F866DC"/>
    <w:pPr>
      <w:spacing w:after="100"/>
    </w:pPr>
  </w:style>
  <w:style w:type="paragraph" w:styleId="TOC2">
    <w:name w:val="toc 2"/>
    <w:basedOn w:val="Normal"/>
    <w:next w:val="Normal"/>
    <w:autoRedefine/>
    <w:uiPriority w:val="39"/>
    <w:unhideWhenUsed/>
    <w:rsid w:val="00F866DC"/>
    <w:pPr>
      <w:spacing w:after="100"/>
      <w:ind w:left="220"/>
    </w:pPr>
  </w:style>
  <w:style w:type="character" w:styleId="Hyperlink">
    <w:name w:val="Hyperlink"/>
    <w:basedOn w:val="DefaultParagraphFont"/>
    <w:uiPriority w:val="99"/>
    <w:unhideWhenUsed/>
    <w:rsid w:val="00F86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5757">
      <w:bodyDiv w:val="1"/>
      <w:marLeft w:val="0"/>
      <w:marRight w:val="0"/>
      <w:marTop w:val="0"/>
      <w:marBottom w:val="0"/>
      <w:divBdr>
        <w:top w:val="none" w:sz="0" w:space="0" w:color="auto"/>
        <w:left w:val="none" w:sz="0" w:space="0" w:color="auto"/>
        <w:bottom w:val="none" w:sz="0" w:space="0" w:color="auto"/>
        <w:right w:val="none" w:sz="0" w:space="0" w:color="auto"/>
      </w:divBdr>
    </w:div>
    <w:div w:id="263851722">
      <w:bodyDiv w:val="1"/>
      <w:marLeft w:val="0"/>
      <w:marRight w:val="0"/>
      <w:marTop w:val="0"/>
      <w:marBottom w:val="0"/>
      <w:divBdr>
        <w:top w:val="none" w:sz="0" w:space="0" w:color="auto"/>
        <w:left w:val="none" w:sz="0" w:space="0" w:color="auto"/>
        <w:bottom w:val="none" w:sz="0" w:space="0" w:color="auto"/>
        <w:right w:val="none" w:sz="0" w:space="0" w:color="auto"/>
      </w:divBdr>
    </w:div>
    <w:div w:id="312759596">
      <w:bodyDiv w:val="1"/>
      <w:marLeft w:val="0"/>
      <w:marRight w:val="0"/>
      <w:marTop w:val="0"/>
      <w:marBottom w:val="0"/>
      <w:divBdr>
        <w:top w:val="none" w:sz="0" w:space="0" w:color="auto"/>
        <w:left w:val="none" w:sz="0" w:space="0" w:color="auto"/>
        <w:bottom w:val="none" w:sz="0" w:space="0" w:color="auto"/>
        <w:right w:val="none" w:sz="0" w:space="0" w:color="auto"/>
      </w:divBdr>
    </w:div>
    <w:div w:id="337658460">
      <w:bodyDiv w:val="1"/>
      <w:marLeft w:val="0"/>
      <w:marRight w:val="0"/>
      <w:marTop w:val="0"/>
      <w:marBottom w:val="0"/>
      <w:divBdr>
        <w:top w:val="none" w:sz="0" w:space="0" w:color="auto"/>
        <w:left w:val="none" w:sz="0" w:space="0" w:color="auto"/>
        <w:bottom w:val="none" w:sz="0" w:space="0" w:color="auto"/>
        <w:right w:val="none" w:sz="0" w:space="0" w:color="auto"/>
      </w:divBdr>
    </w:div>
    <w:div w:id="404374918">
      <w:bodyDiv w:val="1"/>
      <w:marLeft w:val="0"/>
      <w:marRight w:val="0"/>
      <w:marTop w:val="0"/>
      <w:marBottom w:val="0"/>
      <w:divBdr>
        <w:top w:val="none" w:sz="0" w:space="0" w:color="auto"/>
        <w:left w:val="none" w:sz="0" w:space="0" w:color="auto"/>
        <w:bottom w:val="none" w:sz="0" w:space="0" w:color="auto"/>
        <w:right w:val="none" w:sz="0" w:space="0" w:color="auto"/>
      </w:divBdr>
    </w:div>
    <w:div w:id="464590438">
      <w:bodyDiv w:val="1"/>
      <w:marLeft w:val="0"/>
      <w:marRight w:val="0"/>
      <w:marTop w:val="0"/>
      <w:marBottom w:val="0"/>
      <w:divBdr>
        <w:top w:val="none" w:sz="0" w:space="0" w:color="auto"/>
        <w:left w:val="none" w:sz="0" w:space="0" w:color="auto"/>
        <w:bottom w:val="none" w:sz="0" w:space="0" w:color="auto"/>
        <w:right w:val="none" w:sz="0" w:space="0" w:color="auto"/>
      </w:divBdr>
    </w:div>
    <w:div w:id="480460509">
      <w:bodyDiv w:val="1"/>
      <w:marLeft w:val="0"/>
      <w:marRight w:val="0"/>
      <w:marTop w:val="0"/>
      <w:marBottom w:val="0"/>
      <w:divBdr>
        <w:top w:val="none" w:sz="0" w:space="0" w:color="auto"/>
        <w:left w:val="none" w:sz="0" w:space="0" w:color="auto"/>
        <w:bottom w:val="none" w:sz="0" w:space="0" w:color="auto"/>
        <w:right w:val="none" w:sz="0" w:space="0" w:color="auto"/>
      </w:divBdr>
    </w:div>
    <w:div w:id="535241585">
      <w:bodyDiv w:val="1"/>
      <w:marLeft w:val="0"/>
      <w:marRight w:val="0"/>
      <w:marTop w:val="0"/>
      <w:marBottom w:val="0"/>
      <w:divBdr>
        <w:top w:val="none" w:sz="0" w:space="0" w:color="auto"/>
        <w:left w:val="none" w:sz="0" w:space="0" w:color="auto"/>
        <w:bottom w:val="none" w:sz="0" w:space="0" w:color="auto"/>
        <w:right w:val="none" w:sz="0" w:space="0" w:color="auto"/>
      </w:divBdr>
    </w:div>
    <w:div w:id="671489977">
      <w:bodyDiv w:val="1"/>
      <w:marLeft w:val="0"/>
      <w:marRight w:val="0"/>
      <w:marTop w:val="0"/>
      <w:marBottom w:val="0"/>
      <w:divBdr>
        <w:top w:val="none" w:sz="0" w:space="0" w:color="auto"/>
        <w:left w:val="none" w:sz="0" w:space="0" w:color="auto"/>
        <w:bottom w:val="none" w:sz="0" w:space="0" w:color="auto"/>
        <w:right w:val="none" w:sz="0" w:space="0" w:color="auto"/>
      </w:divBdr>
    </w:div>
    <w:div w:id="673920580">
      <w:bodyDiv w:val="1"/>
      <w:marLeft w:val="0"/>
      <w:marRight w:val="0"/>
      <w:marTop w:val="0"/>
      <w:marBottom w:val="0"/>
      <w:divBdr>
        <w:top w:val="none" w:sz="0" w:space="0" w:color="auto"/>
        <w:left w:val="none" w:sz="0" w:space="0" w:color="auto"/>
        <w:bottom w:val="none" w:sz="0" w:space="0" w:color="auto"/>
        <w:right w:val="none" w:sz="0" w:space="0" w:color="auto"/>
      </w:divBdr>
    </w:div>
    <w:div w:id="831793922">
      <w:bodyDiv w:val="1"/>
      <w:marLeft w:val="0"/>
      <w:marRight w:val="0"/>
      <w:marTop w:val="0"/>
      <w:marBottom w:val="0"/>
      <w:divBdr>
        <w:top w:val="none" w:sz="0" w:space="0" w:color="auto"/>
        <w:left w:val="none" w:sz="0" w:space="0" w:color="auto"/>
        <w:bottom w:val="none" w:sz="0" w:space="0" w:color="auto"/>
        <w:right w:val="none" w:sz="0" w:space="0" w:color="auto"/>
      </w:divBdr>
    </w:div>
    <w:div w:id="1110246398">
      <w:bodyDiv w:val="1"/>
      <w:marLeft w:val="0"/>
      <w:marRight w:val="0"/>
      <w:marTop w:val="0"/>
      <w:marBottom w:val="0"/>
      <w:divBdr>
        <w:top w:val="none" w:sz="0" w:space="0" w:color="auto"/>
        <w:left w:val="none" w:sz="0" w:space="0" w:color="auto"/>
        <w:bottom w:val="none" w:sz="0" w:space="0" w:color="auto"/>
        <w:right w:val="none" w:sz="0" w:space="0" w:color="auto"/>
      </w:divBdr>
    </w:div>
    <w:div w:id="1307473119">
      <w:bodyDiv w:val="1"/>
      <w:marLeft w:val="0"/>
      <w:marRight w:val="0"/>
      <w:marTop w:val="0"/>
      <w:marBottom w:val="0"/>
      <w:divBdr>
        <w:top w:val="none" w:sz="0" w:space="0" w:color="auto"/>
        <w:left w:val="none" w:sz="0" w:space="0" w:color="auto"/>
        <w:bottom w:val="none" w:sz="0" w:space="0" w:color="auto"/>
        <w:right w:val="none" w:sz="0" w:space="0" w:color="auto"/>
      </w:divBdr>
    </w:div>
    <w:div w:id="1429615120">
      <w:bodyDiv w:val="1"/>
      <w:marLeft w:val="0"/>
      <w:marRight w:val="0"/>
      <w:marTop w:val="0"/>
      <w:marBottom w:val="0"/>
      <w:divBdr>
        <w:top w:val="none" w:sz="0" w:space="0" w:color="auto"/>
        <w:left w:val="none" w:sz="0" w:space="0" w:color="auto"/>
        <w:bottom w:val="none" w:sz="0" w:space="0" w:color="auto"/>
        <w:right w:val="none" w:sz="0" w:space="0" w:color="auto"/>
      </w:divBdr>
    </w:div>
    <w:div w:id="1553231478">
      <w:bodyDiv w:val="1"/>
      <w:marLeft w:val="0"/>
      <w:marRight w:val="0"/>
      <w:marTop w:val="0"/>
      <w:marBottom w:val="0"/>
      <w:divBdr>
        <w:top w:val="none" w:sz="0" w:space="0" w:color="auto"/>
        <w:left w:val="none" w:sz="0" w:space="0" w:color="auto"/>
        <w:bottom w:val="none" w:sz="0" w:space="0" w:color="auto"/>
        <w:right w:val="none" w:sz="0" w:space="0" w:color="auto"/>
      </w:divBdr>
    </w:div>
    <w:div w:id="18364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5737-1EAA-4B19-86A1-2125BC14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6116</Words>
  <Characters>34864</Characters>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2025-07-09T07:10:00Z</cp:lastPrinted>
  <dcterms:created xsi:type="dcterms:W3CDTF">2025-07-09T07:10:00Z</dcterms:created>
  <dcterms:modified xsi:type="dcterms:W3CDTF">2025-07-09T07:10:00Z</dcterms:modified>
</cp:coreProperties>
</file>