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5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5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B</w:t>
            </w:r>
          </w:p>
          <w:p>
            <w:pPr>
              <w:spacing w:before="150"/>
              <w:jc w:val="left"/>
            </w:pPr>
            <w:r>
              <w:t xml:space="preserve">4. 36</w:t>
            </w:r>
          </w:p>
          <w:p>
            <w:pPr>
              <w:spacing w:before="150"/>
              <w:jc w:val="left"/>
            </w:pPr>
            <w:r>
              <w:t xml:space="preserve">5. 4</w:t>
            </w:r>
          </w:p>
          <w:p>
            <w:pPr>
              <w:spacing w:before="150"/>
              <w:jc w:val="left"/>
            </w:pPr>
            <w:r>
              <w:t xml:space="preserve">6. 7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2022-12-01T18:15:14.689Z</dcterms:created>
  <dcterms:modified xsi:type="dcterms:W3CDTF">2022-12-01T18:15:14.689Z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