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9" w:type="pct"/>
        <w:tblLook w:val="01E0" w:firstRow="1" w:lastRow="1" w:firstColumn="1" w:lastColumn="1" w:noHBand="0" w:noVBand="0"/>
      </w:tblPr>
      <w:tblGrid>
        <w:gridCol w:w="6112"/>
        <w:gridCol w:w="10191"/>
      </w:tblGrid>
      <w:tr w:rsidR="009A1709" w:rsidRPr="001A6CF4" w14:paraId="1BF4CBA6" w14:textId="77777777" w:rsidTr="00B00975">
        <w:trPr>
          <w:trHeight w:val="626"/>
        </w:trPr>
        <w:tc>
          <w:tcPr>
            <w:tcW w:w="6112" w:type="dxa"/>
          </w:tcPr>
          <w:p w14:paraId="38BC80BB" w14:textId="616A47E7" w:rsidR="003E6923" w:rsidRDefault="00B1201E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NHÓM 2</w:t>
            </w:r>
          </w:p>
          <w:p w14:paraId="32A35A74" w14:textId="36D87D50" w:rsidR="003E6923" w:rsidRDefault="003E6923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THPT Chu Văn An</w:t>
            </w:r>
          </w:p>
          <w:p w14:paraId="73028F18" w14:textId="77777777" w:rsidR="003E6923" w:rsidRDefault="003E6923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THPT Gang Thép</w:t>
            </w:r>
          </w:p>
          <w:p w14:paraId="48626E39" w14:textId="77777777" w:rsidR="003E6923" w:rsidRDefault="003E6923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THPT Sông Công</w:t>
            </w:r>
          </w:p>
          <w:p w14:paraId="30FB6182" w14:textId="4AA6ADCE" w:rsidR="003E6923" w:rsidRDefault="003E6923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VH1 – BCA</w:t>
            </w:r>
          </w:p>
          <w:p w14:paraId="25A87D9D" w14:textId="77669232" w:rsidR="003E6923" w:rsidRPr="005B32D5" w:rsidRDefault="003E6923" w:rsidP="003E6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THPT Thái Nguyên</w:t>
            </w:r>
          </w:p>
        </w:tc>
        <w:tc>
          <w:tcPr>
            <w:tcW w:w="10191" w:type="dxa"/>
          </w:tcPr>
          <w:p w14:paraId="4BE7A5E8" w14:textId="09D1B1D3" w:rsidR="009A1709" w:rsidRPr="005B32D5" w:rsidRDefault="009A1709" w:rsidP="00B009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MA TRẬN KIỂ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 TRA CUỐI</w:t>
            </w:r>
            <w:r w:rsidRPr="005B3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HỌC KỲ 1</w:t>
            </w: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, LỚP 10</w:t>
            </w:r>
          </w:p>
          <w:p w14:paraId="10D4A620" w14:textId="77777777" w:rsidR="009A1709" w:rsidRPr="005B32D5" w:rsidRDefault="009A1709" w:rsidP="00B0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NĂM HỌC</w:t>
            </w:r>
            <w:r w:rsidRPr="005B3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2023 - 2024</w:t>
            </w:r>
          </w:p>
          <w:p w14:paraId="48F5E23B" w14:textId="77777777" w:rsidR="009A1709" w:rsidRPr="005B32D5" w:rsidRDefault="009A1709" w:rsidP="00B009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2D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MÔN:</w:t>
            </w:r>
            <w:r w:rsidRPr="005B3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TOÁN</w:t>
            </w:r>
          </w:p>
        </w:tc>
      </w:tr>
    </w:tbl>
    <w:p w14:paraId="372A42EF" w14:textId="77777777" w:rsidR="002562EC" w:rsidRDefault="002562EC" w:rsidP="002562EC">
      <w:pPr>
        <w:pStyle w:val="ListParagraph"/>
        <w:tabs>
          <w:tab w:val="left" w:pos="720"/>
          <w:tab w:val="center" w:pos="678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B37761" w14:textId="77777777" w:rsidR="0027644A" w:rsidRPr="00DC5792" w:rsidRDefault="0027644A" w:rsidP="00AF74FC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</w:rPr>
      </w:pPr>
      <w:r w:rsidRPr="00DC5792">
        <w:rPr>
          <w:rFonts w:ascii="Times New Roman" w:eastAsia="Calibri" w:hAnsi="Times New Roman" w:cs="Times New Roman"/>
          <w:b/>
          <w:bCs/>
          <w:lang w:val="vi-VN"/>
        </w:rPr>
        <w:t xml:space="preserve">KHUNG MA TRẬN ĐỀ KIỂM TRA </w:t>
      </w:r>
      <w:r w:rsidRPr="00DC5792">
        <w:rPr>
          <w:rFonts w:ascii="Times New Roman" w:eastAsia="Calibri" w:hAnsi="Times New Roman" w:cs="Times New Roman"/>
          <w:b/>
          <w:bCs/>
        </w:rPr>
        <w:t xml:space="preserve">CUỐI HỌC KÌ 1 </w:t>
      </w:r>
      <w:r w:rsidRPr="00DC5792">
        <w:rPr>
          <w:rFonts w:ascii="Times New Roman" w:eastAsia="Calibri" w:hAnsi="Times New Roman" w:cs="Times New Roman"/>
          <w:b/>
          <w:bCs/>
          <w:lang w:val="vi-VN"/>
        </w:rPr>
        <w:t>MÔN</w:t>
      </w:r>
      <w:r w:rsidR="00A116A8" w:rsidRPr="00DC5792">
        <w:rPr>
          <w:rFonts w:ascii="Times New Roman" w:eastAsia="Calibri" w:hAnsi="Times New Roman" w:cs="Times New Roman"/>
          <w:b/>
          <w:bCs/>
        </w:rPr>
        <w:t xml:space="preserve"> TOÁN </w:t>
      </w:r>
      <w:r w:rsidRPr="00DC5792">
        <w:rPr>
          <w:rFonts w:ascii="Times New Roman" w:eastAsia="Calibri" w:hAnsi="Times New Roman" w:cs="Times New Roman"/>
          <w:b/>
          <w:bCs/>
          <w:lang w:val="vi-VN"/>
        </w:rPr>
        <w:t>L</w:t>
      </w:r>
      <w:r w:rsidRPr="00DC5792">
        <w:rPr>
          <w:rFonts w:ascii="Times New Roman" w:eastAsia="Calibri" w:hAnsi="Times New Roman" w:cs="Times New Roman"/>
          <w:b/>
          <w:bCs/>
        </w:rPr>
        <w:t>ỚP 10</w:t>
      </w:r>
    </w:p>
    <w:tbl>
      <w:tblPr>
        <w:tblStyle w:val="TableGrid1"/>
        <w:tblW w:w="4900" w:type="pct"/>
        <w:jc w:val="center"/>
        <w:tblLook w:val="04A0" w:firstRow="1" w:lastRow="0" w:firstColumn="1" w:lastColumn="0" w:noHBand="0" w:noVBand="1"/>
      </w:tblPr>
      <w:tblGrid>
        <w:gridCol w:w="636"/>
        <w:gridCol w:w="2083"/>
        <w:gridCol w:w="3205"/>
        <w:gridCol w:w="1047"/>
        <w:gridCol w:w="698"/>
        <w:gridCol w:w="1056"/>
        <w:gridCol w:w="794"/>
        <w:gridCol w:w="993"/>
        <w:gridCol w:w="957"/>
        <w:gridCol w:w="957"/>
        <w:gridCol w:w="972"/>
        <w:gridCol w:w="1649"/>
      </w:tblGrid>
      <w:tr w:rsidR="0012449C" w:rsidRPr="00DC5792" w14:paraId="114FBA4B" w14:textId="77777777" w:rsidTr="008977CE">
        <w:trPr>
          <w:trHeight w:val="361"/>
          <w:jc w:val="center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1EE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TT</w:t>
            </w:r>
          </w:p>
          <w:p w14:paraId="3D3D5D85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(1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8AC9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Chương/Chủ đề</w:t>
            </w:r>
          </w:p>
          <w:p w14:paraId="188E2833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  <w:t>(2)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E4A7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Nội dung/đơn vị kiến thức</w:t>
            </w:r>
          </w:p>
          <w:p w14:paraId="0A589005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(3)</w:t>
            </w:r>
          </w:p>
        </w:tc>
        <w:tc>
          <w:tcPr>
            <w:tcW w:w="24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CFE2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 xml:space="preserve">Mức độ 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đánh giá</w:t>
            </w:r>
          </w:p>
          <w:p w14:paraId="61C8D030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(4-11)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BF64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Tổng</w:t>
            </w: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 xml:space="preserve"> % điểm</w:t>
            </w:r>
          </w:p>
          <w:p w14:paraId="28A65D22" w14:textId="77777777" w:rsidR="0027644A" w:rsidRPr="00DC5792" w:rsidRDefault="002764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  <w:t>(</w:t>
            </w: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12</w:t>
            </w:r>
            <w:r w:rsidRPr="00DC5792"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vi-VN"/>
              </w:rPr>
              <w:t>)</w:t>
            </w:r>
          </w:p>
        </w:tc>
      </w:tr>
      <w:tr w:rsidR="0012449C" w:rsidRPr="00DC5792" w14:paraId="23BF3DE6" w14:textId="77777777" w:rsidTr="008977CE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A06" w14:textId="77777777" w:rsidR="0027644A" w:rsidRPr="00DC5792" w:rsidRDefault="0027644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CA9" w14:textId="77777777" w:rsidR="0027644A" w:rsidRPr="00DC5792" w:rsidRDefault="0027644A">
            <w:pPr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91F" w14:textId="77777777" w:rsidR="0027644A" w:rsidRPr="00DC5792" w:rsidRDefault="0027644A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2C047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Nhận biết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71A7E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Thông hiểu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1E2E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Vận dụng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28C59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Vận dụng cao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0AA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12449C" w:rsidRPr="00DC5792" w14:paraId="3B1133BE" w14:textId="77777777" w:rsidTr="008977CE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902" w14:textId="77777777" w:rsidR="0027644A" w:rsidRPr="00DC5792" w:rsidRDefault="0027644A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645E" w14:textId="77777777" w:rsidR="0027644A" w:rsidRPr="00DC5792" w:rsidRDefault="0027644A">
            <w:pPr>
              <w:rPr>
                <w:rFonts w:ascii="Times New Roman" w:eastAsia="Calibri" w:hAnsi="Times New Roman" w:cs="Times New Roman"/>
                <w:bCs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0B1" w14:textId="77777777" w:rsidR="0027644A" w:rsidRPr="00DC5792" w:rsidRDefault="0027644A">
            <w:pPr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9845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68455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F6EB2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676E3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B9C3D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5855C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0092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4A2C0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50D" w14:textId="77777777" w:rsidR="0027644A" w:rsidRPr="00DC5792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12449C" w:rsidRPr="00DC5792" w14:paraId="2215BEE0" w14:textId="77777777" w:rsidTr="008977CE">
        <w:trPr>
          <w:trHeight w:val="62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FD24" w14:textId="7824FB2D" w:rsidR="0014758A" w:rsidRPr="00DC5792" w:rsidRDefault="0014758A" w:rsidP="00F7550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73987" w14:textId="740DD99C" w:rsidR="0014758A" w:rsidRPr="00DC5792" w:rsidRDefault="0014758A" w:rsidP="00F7550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Bất phương trình, hệ bất phương trình bậc nhất hai ẩn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5A7" w14:textId="104B8556" w:rsidR="0014758A" w:rsidRPr="00DC5792" w:rsidRDefault="0014758A" w:rsidP="00843827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Bất phương trình bậc nhất hai ẩn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397B1" w14:textId="5D557D60" w:rsidR="0014758A" w:rsidRPr="00DC5792" w:rsidRDefault="0014758A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F3AD7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2645" w14:textId="33B7A21E" w:rsidR="0014758A" w:rsidRPr="00DC5792" w:rsidRDefault="0014758A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E895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427E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BB59E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319B5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0E24" w14:textId="77777777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64E" w14:textId="329D8AEE" w:rsidR="0014758A" w:rsidRPr="00DC5792" w:rsidRDefault="0014758A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30B16FAB" w14:textId="432A3A16" w:rsidR="0014758A" w:rsidRPr="00DC5792" w:rsidRDefault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12449C" w:rsidRPr="00DC5792" w14:paraId="4305644B" w14:textId="77777777" w:rsidTr="008977CE">
        <w:trPr>
          <w:trHeight w:val="624"/>
          <w:jc w:val="center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AC8B5" w14:textId="74029B96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2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28293" w14:textId="5DDB2124" w:rsidR="000F6157" w:rsidRPr="00DC5792" w:rsidRDefault="000F615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Hệ thức lượng trong tam giác. Giải tam giác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67B" w14:textId="183BB1D6" w:rsidR="000F6157" w:rsidRPr="00DC5792" w:rsidRDefault="000F6157" w:rsidP="00B00975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Hệ thức lượng trong tam giác. Định lí côsin. Định lí sin. Công thức tính diện tích tam giác. Giải tam giác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76F9F" w14:textId="26D3355D" w:rsidR="000F6157" w:rsidRPr="00DC5792" w:rsidRDefault="000F6157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C4,5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21907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6FB89" w14:textId="0FB2E9CF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DE9C4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</w:t>
            </w:r>
          </w:p>
          <w:p w14:paraId="673C7003" w14:textId="114DFB0B" w:rsidR="002B28D3" w:rsidRPr="00DC5792" w:rsidRDefault="002B2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0.5đ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1A9A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54EC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A672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2C8C" w14:textId="77777777" w:rsidR="000F6157" w:rsidRPr="00DC5792" w:rsidRDefault="000F615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E1C1" w14:textId="70C5B3F8" w:rsidR="000F6157" w:rsidRPr="00DC5792" w:rsidRDefault="002B28D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11</w:t>
            </w:r>
            <w:r w:rsidR="000F6157"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%</w:t>
            </w:r>
          </w:p>
          <w:p w14:paraId="509D0998" w14:textId="77777777" w:rsidR="000F6157" w:rsidRPr="00DC5792" w:rsidRDefault="000F615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  <w:p w14:paraId="4AE4B520" w14:textId="722E3EE9" w:rsidR="002B28D3" w:rsidRPr="00DC5792" w:rsidRDefault="002B2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1TL 0.5đ</w:t>
            </w:r>
          </w:p>
        </w:tc>
      </w:tr>
      <w:tr w:rsidR="002E4793" w:rsidRPr="00DC5792" w14:paraId="3FD466E1" w14:textId="77777777" w:rsidTr="00DC5792">
        <w:trPr>
          <w:trHeight w:val="62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558A7" w14:textId="2317B58A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6DC7B" w14:textId="0517ADE5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Véc tơ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1E0C" w14:textId="1BA49DB0" w:rsidR="002E4793" w:rsidRPr="00DC5792" w:rsidRDefault="00D35124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Vectơ, các phép toán (tổng và hiệu hai vectơ, tích của một số với vectơ, tích vô hướng của hai vectơ)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và một số ứng dụng trong Vật lí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7125" w14:textId="5DC06671" w:rsidR="002E4793" w:rsidRPr="00DC5792" w:rsidRDefault="002E4793" w:rsidP="00E51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0E4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F577" w14:textId="3926D864" w:rsidR="002E4793" w:rsidRPr="00DC5792" w:rsidRDefault="002E4793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C9745" w14:textId="002A1A4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FF04" w14:textId="41449E7E" w:rsidR="002E4793" w:rsidRPr="00DC5792" w:rsidRDefault="002E4793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2B32" w14:textId="6A3E986A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08D5" w14:textId="1B386845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D442" w14:textId="19F9B243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10B6" w14:textId="713F3498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4%</w:t>
            </w:r>
          </w:p>
          <w:p w14:paraId="085BABA4" w14:textId="7DFCB719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2TN 0.4đ</w:t>
            </w:r>
          </w:p>
        </w:tc>
      </w:tr>
      <w:tr w:rsidR="002E4793" w:rsidRPr="00DC5792" w14:paraId="2455C686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7B84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6C5E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D4" w14:textId="19D62D5D" w:rsidR="002E4793" w:rsidRPr="00DC5792" w:rsidRDefault="002E4793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1307" w14:textId="224837EA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C9,10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7B22F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B8938" w14:textId="4795DFB4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C11,12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0282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14E8" w14:textId="5BB3D21B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406C3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31B2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3EBF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5AB" w14:textId="0D89336D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10%</w:t>
            </w:r>
          </w:p>
          <w:p w14:paraId="787B115B" w14:textId="6CB182D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5TN 1.0đ</w:t>
            </w:r>
          </w:p>
        </w:tc>
      </w:tr>
      <w:tr w:rsidR="002E4793" w:rsidRPr="00DC5792" w14:paraId="462FDB8C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933B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4FF06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52AF" w14:textId="73DBF550" w:rsidR="002E4793" w:rsidRPr="00DC5792" w:rsidRDefault="002E4793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E4AE" w14:textId="1C904E39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C14,15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D0A3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C680" w14:textId="6715903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C16,17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C257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5308" w14:textId="414A479A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62210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9695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92A5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DE5" w14:textId="77777777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10%</w:t>
            </w:r>
          </w:p>
          <w:p w14:paraId="0B2C867B" w14:textId="4305D56B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5TN 1.0đ</w:t>
            </w:r>
          </w:p>
        </w:tc>
      </w:tr>
      <w:tr w:rsidR="002E4793" w:rsidRPr="00DC5792" w14:paraId="7010EEE3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F84F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9A3C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B7BB" w14:textId="4786409D" w:rsidR="002E4793" w:rsidRPr="00DC5792" w:rsidRDefault="002E4793" w:rsidP="000E1AF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742CC" w14:textId="59A9AC92" w:rsidR="002E4793" w:rsidRPr="00DC5792" w:rsidRDefault="002E4793" w:rsidP="00E51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C19,20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58FD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A353" w14:textId="5D4E3DC5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7094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DDE45" w14:textId="2E450DEC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C454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C7407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FC26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D3C" w14:textId="77777777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75E512D8" w14:textId="6DEA5DC8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2E4793" w:rsidRPr="00DC5792" w14:paraId="37588456" w14:textId="77777777" w:rsidTr="00DC579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8F76" w14:textId="77777777" w:rsidR="002E4793" w:rsidRPr="00DC5792" w:rsidRDefault="002E4793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18E" w14:textId="77777777" w:rsidR="002E4793" w:rsidRPr="00DC5792" w:rsidRDefault="002E4793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D90" w14:textId="731F971E" w:rsidR="002E4793" w:rsidRPr="00DC5792" w:rsidRDefault="002E479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F338" w14:textId="1DA49B84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C22,23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973D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EE95" w14:textId="4EEECE79" w:rsidR="002E4793" w:rsidRPr="00DC5792" w:rsidRDefault="002E4793" w:rsidP="00E51A3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816E" w14:textId="77777777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0E62" w14:textId="3A73E8A6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44D7" w14:textId="77777777" w:rsidR="002E4793" w:rsidRPr="00DC5792" w:rsidRDefault="002E4793" w:rsidP="0020514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</w:t>
            </w:r>
          </w:p>
          <w:p w14:paraId="29C0B300" w14:textId="61ECE7A9" w:rsidR="002E4793" w:rsidRPr="00DC5792" w:rsidRDefault="002E4793" w:rsidP="0020514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1đ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1F8" w14:textId="078080D6" w:rsidR="002E4793" w:rsidRPr="00DC5792" w:rsidRDefault="002E4793" w:rsidP="006935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1F0F" w14:textId="51C6B7B5" w:rsidR="002E4793" w:rsidRPr="00DC5792" w:rsidRDefault="002E47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1ED" w14:textId="6B961426" w:rsidR="002E4793" w:rsidRPr="00DC5792" w:rsidRDefault="002E4793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18%</w:t>
            </w:r>
          </w:p>
          <w:p w14:paraId="63ED3548" w14:textId="77777777" w:rsidR="002E4793" w:rsidRPr="00DC5792" w:rsidRDefault="002E4793" w:rsidP="00147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4TN 0.8đ</w:t>
            </w:r>
          </w:p>
          <w:p w14:paraId="5112B53D" w14:textId="77777777" w:rsidR="002E4793" w:rsidRPr="00DC5792" w:rsidRDefault="002E4793" w:rsidP="0014758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1TL 1đ</w:t>
            </w:r>
          </w:p>
          <w:p w14:paraId="55BFD8B3" w14:textId="77777777" w:rsidR="002E4793" w:rsidRPr="00DC5792" w:rsidRDefault="002E4793" w:rsidP="0014758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  <w:p w14:paraId="367165BB" w14:textId="1DE362E6" w:rsidR="002E4793" w:rsidRPr="00DC5792" w:rsidRDefault="002E4793" w:rsidP="0014758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</w:tr>
      <w:tr w:rsidR="002F7C79" w:rsidRPr="00DC5792" w14:paraId="1B58D943" w14:textId="77777777" w:rsidTr="00D35124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DD33E" w14:textId="6A740AA4" w:rsidR="002F7C79" w:rsidRPr="00DC5792" w:rsidRDefault="002F7C79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B7CD" w14:textId="7EF572D6" w:rsidR="002F7C79" w:rsidRPr="00DC5792" w:rsidRDefault="002F7C7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Số gần đúng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18C92" w14:textId="27F36FF9" w:rsidR="002F7C79" w:rsidRPr="00DC5792" w:rsidRDefault="002F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Số gần đúng và sai số</w:t>
            </w:r>
          </w:p>
          <w:p w14:paraId="411B6E63" w14:textId="77777777" w:rsidR="00DC5792" w:rsidRPr="00DC5792" w:rsidRDefault="00DC579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  <w:p w14:paraId="46F10FD2" w14:textId="77777777" w:rsidR="00D35124" w:rsidRPr="00DC5792" w:rsidRDefault="00DC579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</w:pPr>
            <w:r w:rsidRPr="00DC5792"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  <w:t>T</w:t>
            </w:r>
            <w:r w:rsidRPr="00DC57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hu thập </w:t>
            </w:r>
            <w:r w:rsidRPr="00DC5792"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  <w:t>và</w:t>
            </w:r>
            <w:r w:rsidRPr="00DC57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tổ chức </w:t>
            </w:r>
            <w:r w:rsidRPr="00DC5792">
              <w:rPr>
                <w:rFonts w:ascii="Times New Roman" w:eastAsia="Times New Roman" w:hAnsi="Times New Roman" w:cs="Times New Roman"/>
                <w:i/>
                <w:color w:val="000000"/>
                <w:lang w:val="vi-VN"/>
              </w:rPr>
              <w:t>dữ liệu</w:t>
            </w:r>
          </w:p>
          <w:p w14:paraId="7AD14235" w14:textId="311E9851" w:rsidR="00DC5792" w:rsidRPr="00DC5792" w:rsidRDefault="00DC579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>Phân tích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t xml:space="preserve"> 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và 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t>xử lí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vi-VN"/>
              </w:rPr>
              <w:t>dữ liệu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EC81" w14:textId="0BB10957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  <w:t>C26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F771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7714" w14:textId="21C00AB3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099E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DB397" w14:textId="5F67426D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5C61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DBBE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CE15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7778" w14:textId="77777777" w:rsidR="002F7C79" w:rsidRPr="00DC5792" w:rsidRDefault="002F7C79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6C1FCF19" w14:textId="60E72689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2F7C79" w:rsidRPr="00DC5792" w14:paraId="0C28692A" w14:textId="77777777" w:rsidTr="00D35124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D8B52" w14:textId="77777777" w:rsidR="002F7C79" w:rsidRPr="00DC5792" w:rsidRDefault="002F7C79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6C0C1" w14:textId="77777777" w:rsidR="002F7C79" w:rsidRPr="00DC5792" w:rsidRDefault="002F7C7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D582C" w14:textId="0B2A3C1D" w:rsidR="002F7C79" w:rsidRPr="00DC5792" w:rsidRDefault="002F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6256" w14:textId="7BDB5783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C29,30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52242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0D7A" w14:textId="28B94962" w:rsidR="002F7C79" w:rsidRPr="00DC5792" w:rsidRDefault="002F7C79" w:rsidP="008D31B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FF27" w14:textId="77777777" w:rsidR="002F7C79" w:rsidRPr="00DC5792" w:rsidRDefault="002F7C79" w:rsidP="002968C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C2</w:t>
            </w:r>
          </w:p>
          <w:p w14:paraId="1561D073" w14:textId="4389711B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0.5đ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780F" w14:textId="0AC4EEE8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8BEB4" w14:textId="4F827844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BE67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954E5" w14:textId="77777777" w:rsidR="002F7C79" w:rsidRPr="00DC5792" w:rsidRDefault="002F7C79" w:rsidP="004A0A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C4</w:t>
            </w:r>
          </w:p>
          <w:p w14:paraId="122D6C68" w14:textId="026AAEF6" w:rsidR="002F7C79" w:rsidRPr="00DC5792" w:rsidRDefault="002F7C79" w:rsidP="004A0A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1đ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EB5" w14:textId="77777777" w:rsidR="002F7C79" w:rsidRPr="00DC5792" w:rsidRDefault="002F7C79" w:rsidP="002968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23%</w:t>
            </w:r>
          </w:p>
          <w:p w14:paraId="151521C6" w14:textId="77777777" w:rsidR="002F7C79" w:rsidRPr="00DC5792" w:rsidRDefault="002F7C79" w:rsidP="002968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4TN 0.8đ</w:t>
            </w:r>
          </w:p>
          <w:p w14:paraId="73A49656" w14:textId="66BD6F5C" w:rsidR="002F7C79" w:rsidRPr="00DC5792" w:rsidRDefault="002F7C79" w:rsidP="002562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2TL 1.5đ</w:t>
            </w:r>
          </w:p>
        </w:tc>
      </w:tr>
      <w:tr w:rsidR="002F7C79" w:rsidRPr="00DC5792" w14:paraId="7991DC45" w14:textId="77777777" w:rsidTr="00D35124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92B6" w14:textId="2E87B599" w:rsidR="002F7C79" w:rsidRPr="00DC5792" w:rsidRDefault="002F7C79">
            <w:pPr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7F0" w14:textId="77777777" w:rsidR="002F7C79" w:rsidRPr="00DC5792" w:rsidRDefault="002F7C79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3D12B" w14:textId="6E50E066" w:rsidR="002F7C79" w:rsidRPr="00DC5792" w:rsidRDefault="002F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3430" w14:textId="0C6612BD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C33,34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FFE8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  <w:lang w:val="da-DK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86BD4" w14:textId="42E988DE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C35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8A4B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36C3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B6AD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CA89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D2BE" w14:textId="77777777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CEF" w14:textId="77777777" w:rsidR="002F7C79" w:rsidRPr="00DC5792" w:rsidRDefault="002F7C79" w:rsidP="002968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6%</w:t>
            </w:r>
          </w:p>
          <w:p w14:paraId="2B1FAF39" w14:textId="3F0F6FF6" w:rsidR="002F7C79" w:rsidRPr="00DC5792" w:rsidRDefault="002F7C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3TN 0.6đ</w:t>
            </w:r>
          </w:p>
        </w:tc>
      </w:tr>
      <w:tr w:rsidR="0012449C" w:rsidRPr="00DC5792" w14:paraId="1AA95D32" w14:textId="77777777" w:rsidTr="008977CE">
        <w:trPr>
          <w:trHeight w:val="437"/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7856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Tổng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E7754" w14:textId="3047E91B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47D33" w14:textId="7354A161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3E365" w14:textId="5D7556B9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79AC" w14:textId="342C1950" w:rsidR="008977CE" w:rsidRPr="00DC5792" w:rsidRDefault="008977CE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AF79" w14:textId="3C685D52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F95B1" w14:textId="450CEB10" w:rsidR="008977CE" w:rsidRPr="00DC5792" w:rsidRDefault="008977CE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E6DE2" w14:textId="0894B662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54FD" w14:textId="6BB0242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83E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</w:p>
        </w:tc>
      </w:tr>
      <w:tr w:rsidR="0012449C" w:rsidRPr="00DC5792" w14:paraId="77DFEB8A" w14:textId="77777777" w:rsidTr="008977CE">
        <w:trPr>
          <w:trHeight w:val="354"/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341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Tỉ lệ %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EC861" w14:textId="33D433FF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36%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9FD24" w14:textId="4D58E23F" w:rsidR="008977CE" w:rsidRPr="00DC5792" w:rsidRDefault="008977CE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34%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127FE" w14:textId="2F5D9D5B" w:rsidR="008977CE" w:rsidRPr="00DC5792" w:rsidRDefault="008977CE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20%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813E9" w14:textId="51B9A492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CD47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100%</w:t>
            </w:r>
          </w:p>
        </w:tc>
      </w:tr>
      <w:tr w:rsidR="0012449C" w:rsidRPr="00DC5792" w14:paraId="4068333C" w14:textId="77777777" w:rsidTr="008977CE">
        <w:trPr>
          <w:trHeight w:val="349"/>
          <w:jc w:val="center"/>
        </w:trPr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09A9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Tỉ lệ chung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B9467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70%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8FE80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</w:rPr>
              <w:t>30%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81F" w14:textId="77777777" w:rsidR="008977CE" w:rsidRPr="00DC5792" w:rsidRDefault="008977C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</w:rPr>
              <w:t>100%</w:t>
            </w:r>
          </w:p>
        </w:tc>
      </w:tr>
    </w:tbl>
    <w:p w14:paraId="788255F1" w14:textId="77777777" w:rsidR="00316056" w:rsidRPr="00DC5792" w:rsidRDefault="00316056">
      <w:pPr>
        <w:rPr>
          <w:rFonts w:ascii="Times New Roman" w:hAnsi="Times New Roman" w:cs="Times New Roman"/>
        </w:rPr>
      </w:pPr>
    </w:p>
    <w:p w14:paraId="4D92D823" w14:textId="3C967B88" w:rsidR="006D242E" w:rsidRPr="00DC5792" w:rsidRDefault="006D242E">
      <w:pPr>
        <w:spacing w:after="120"/>
        <w:rPr>
          <w:rFonts w:ascii="Times New Roman" w:eastAsia="Calibri" w:hAnsi="Times New Roman" w:cs="Times New Roman"/>
          <w:b/>
        </w:rPr>
      </w:pPr>
    </w:p>
    <w:p w14:paraId="3B27F3E4" w14:textId="211500EB" w:rsidR="00AF74FC" w:rsidRPr="00DC5792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 w:rsidRPr="00DC5792">
        <w:rPr>
          <w:rFonts w:ascii="Times New Roman" w:eastAsia="Calibri" w:hAnsi="Times New Roman" w:cs="Times New Roman"/>
          <w:b/>
        </w:rPr>
        <w:t xml:space="preserve">2. </w:t>
      </w:r>
      <w:r w:rsidRPr="00DC5792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DC5792">
        <w:rPr>
          <w:rFonts w:ascii="Times New Roman" w:eastAsia="Calibri" w:hAnsi="Times New Roman" w:cs="Times New Roman"/>
          <w:b/>
        </w:rPr>
        <w:t>ĐỀ KIỂM TRA</w:t>
      </w:r>
      <w:r w:rsidRPr="00DC5792">
        <w:rPr>
          <w:rFonts w:ascii="Times New Roman" w:eastAsia="Calibri" w:hAnsi="Times New Roman" w:cs="Times New Roman"/>
          <w:b/>
          <w:lang w:val="vi-VN"/>
        </w:rPr>
        <w:t xml:space="preserve"> </w:t>
      </w:r>
      <w:r w:rsidR="006F10EB" w:rsidRPr="00DC5792">
        <w:rPr>
          <w:rFonts w:ascii="Times New Roman" w:eastAsia="Calibri" w:hAnsi="Times New Roman" w:cs="Times New Roman"/>
          <w:b/>
        </w:rPr>
        <w:t>CUỐI</w:t>
      </w:r>
      <w:r w:rsidRPr="00DC5792">
        <w:rPr>
          <w:rFonts w:ascii="Times New Roman" w:eastAsia="Calibri" w:hAnsi="Times New Roman" w:cs="Times New Roman"/>
          <w:b/>
        </w:rPr>
        <w:t xml:space="preserve"> HỌC KÌ 1 </w:t>
      </w:r>
      <w:r w:rsidRPr="00DC5792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Pr="00DC5792">
        <w:rPr>
          <w:rFonts w:ascii="Times New Roman" w:eastAsia="Calibri" w:hAnsi="Times New Roman" w:cs="Times New Roman"/>
          <w:b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92"/>
        <w:gridCol w:w="2036"/>
        <w:gridCol w:w="4643"/>
        <w:gridCol w:w="1557"/>
        <w:gridCol w:w="1557"/>
        <w:gridCol w:w="1557"/>
        <w:gridCol w:w="1554"/>
      </w:tblGrid>
      <w:tr w:rsidR="002F58A4" w:rsidRPr="00DC5792" w14:paraId="72086882" w14:textId="77777777" w:rsidTr="00AF74FC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36B1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D501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63C0" w14:textId="77777777" w:rsidR="00AF74FC" w:rsidRPr="00DC5792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952B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52FC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  <w:t>Số câu hỏi theo mức độ nhận thức</w:t>
            </w:r>
          </w:p>
        </w:tc>
      </w:tr>
      <w:tr w:rsidR="002F58A4" w:rsidRPr="00DC5792" w14:paraId="450D4012" w14:textId="77777777" w:rsidTr="00AF74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0B2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050B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B73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93F2" w14:textId="77777777" w:rsidR="00AF74FC" w:rsidRPr="00DC5792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9B75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A99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A49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88D0" w14:textId="77777777" w:rsidR="00AF74FC" w:rsidRPr="00DC5792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  <w:t>Vận dụng cao</w:t>
            </w:r>
          </w:p>
        </w:tc>
      </w:tr>
      <w:tr w:rsidR="002F58A4" w:rsidRPr="00DC5792" w14:paraId="36FC28A0" w14:textId="77777777" w:rsidTr="00546E2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F6E" w14:textId="02AF4377" w:rsidR="000D426E" w:rsidRPr="00DC5792" w:rsidRDefault="000D426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E53B" w14:textId="29C3B727" w:rsidR="000D426E" w:rsidRPr="00DC5792" w:rsidRDefault="000D426E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  <w:t>Bất phương trình và hệ bất phương trình bậc nhất hai ẩn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63A" w14:textId="77777777" w:rsidR="000D426E" w:rsidRPr="00DC5792" w:rsidRDefault="000D426E" w:rsidP="001F72A1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Bất phương trình bậc nhất hai ẩn và ứng dụng</w:t>
            </w:r>
          </w:p>
          <w:p w14:paraId="7C7CF573" w14:textId="77777777" w:rsidR="000D426E" w:rsidRPr="00DC5792" w:rsidRDefault="000D426E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160" w14:textId="77777777" w:rsidR="0076191B" w:rsidRP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5CF4A70E" w14:textId="77777777" w:rsidR="0076191B" w:rsidRPr="0076191B" w:rsidRDefault="0076191B" w:rsidP="0076191B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Nhận biết được bất phương trình và hệ bất phương trình bậc nhất hai ẩn.</w:t>
            </w:r>
          </w:p>
          <w:p w14:paraId="30B9B35B" w14:textId="77777777" w:rsidR="0076191B" w:rsidRP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76191B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60E147FE" w14:textId="48A6D1AF" w:rsidR="00BF2EED" w:rsidRPr="0076191B" w:rsidRDefault="0076191B" w:rsidP="0076191B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Biểu diễn được miền nghiệm của bất phương trình và hệ bất phương trình bậc nhất hai ẩn trên mặt phẳng toạ độ.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7D8" w14:textId="275D7AE7" w:rsidR="000D426E" w:rsidRPr="00DC5792" w:rsidRDefault="00366B4F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Câu 1,2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AE0" w14:textId="39E7A5CB" w:rsidR="000D426E" w:rsidRPr="00DC5792" w:rsidRDefault="00366B4F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Câu 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250" w14:textId="77777777" w:rsidR="000D426E" w:rsidRPr="00DC5792" w:rsidRDefault="000D426E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FDC" w14:textId="77777777" w:rsidR="000D426E" w:rsidRPr="00DC5792" w:rsidRDefault="000D426E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</w:tr>
      <w:tr w:rsidR="002F58A4" w:rsidRPr="00DC5792" w14:paraId="016D7781" w14:textId="77777777" w:rsidTr="00BF2EE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714C" w14:textId="6F605F6E" w:rsidR="00BF2EED" w:rsidRPr="00DC5792" w:rsidRDefault="00BF2EED" w:rsidP="00BF2EED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76BCA" w14:textId="39A2BDE7" w:rsidR="00BF2EED" w:rsidRPr="00DC5792" w:rsidRDefault="00BF2EED" w:rsidP="00BF2EE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 xml:space="preserve">Hệ thức lượng trong tam giác.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5E7" w14:textId="77777777" w:rsidR="00BF2EED" w:rsidRPr="00DC5792" w:rsidRDefault="00BF2EED" w:rsidP="003773D6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  <w:t>Hệ thức lượng trong tam giác. Định lí côsin. Định lí sin. Công thức tính diện tích tam giác. Giải tam giác</w:t>
            </w:r>
          </w:p>
          <w:p w14:paraId="3E27F983" w14:textId="77777777" w:rsidR="00BF2EED" w:rsidRPr="00DC5792" w:rsidRDefault="00BF2EED" w:rsidP="003773D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pacing w:val="-8"/>
              </w:rPr>
              <w:t>(4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4FB0" w14:textId="77777777" w:rsid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76191B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58605549" w14:textId="64F3D0AD" w:rsidR="0076191B" w:rsidRP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-</w:t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Nhận biết được giá trị lượng giác của một góc từ 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đến 18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.</w:t>
            </w:r>
          </w:p>
          <w:p w14:paraId="02B4C98F" w14:textId="77777777" w:rsidR="0076191B" w:rsidRPr="0076191B" w:rsidRDefault="0076191B" w:rsidP="0076191B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76191B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6CA525F9" w14:textId="77777777" w:rsidR="0076191B" w:rsidRPr="0076191B" w:rsidRDefault="0076191B" w:rsidP="0076191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Tính được giá trị lượng giác (đúng hoặc gần đúng) của một góc từ 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đến 18</w:t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3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sym w:font="Symbol" w:char="F0B0"/>
            </w:r>
            <w:r w:rsidRPr="0076191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bằng máy tính cầm tay.</w:t>
            </w:r>
          </w:p>
          <w:p w14:paraId="16AEB60D" w14:textId="77777777" w:rsidR="0076191B" w:rsidRPr="0076191B" w:rsidRDefault="0076191B" w:rsidP="0076191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Giải thích được hệ thức liên hệ giữa giá trị lượng giác của các góc phụ nhau, bù nhau.</w:t>
            </w:r>
          </w:p>
          <w:p w14:paraId="25B367BE" w14:textId="2936705F" w:rsidR="00BF2EED" w:rsidRPr="00E06CAB" w:rsidRDefault="0076191B" w:rsidP="00E06CA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76191B">
              <w:rPr>
                <w:rFonts w:ascii="Times New Roman" w:eastAsia="Calibri" w:hAnsi="Times New Roman" w:cs="Times New Roman"/>
                <w:color w:val="000000"/>
                <w:lang w:val="da-DK"/>
              </w:rPr>
              <w:t>– Giải thích được các hệ thức lượng cơ bản trong tam giác: định lí côsin, định lí sin, công thức tính diện tích tam giác.</w:t>
            </w:r>
            <w:bookmarkStart w:id="0" w:name="_GoBack"/>
            <w:bookmarkEnd w:id="0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231" w14:textId="77777777" w:rsidR="00BF2EED" w:rsidRPr="00DC5792" w:rsidRDefault="00366B4F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Câu4,5</w:t>
            </w:r>
          </w:p>
          <w:p w14:paraId="048318E0" w14:textId="1F94CC29" w:rsidR="00366B4F" w:rsidRPr="00DC5792" w:rsidRDefault="00366B4F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019D" w14:textId="77777777" w:rsidR="00366B4F" w:rsidRPr="00DC5792" w:rsidRDefault="00366B4F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 xml:space="preserve">Câu 6 </w:t>
            </w:r>
          </w:p>
          <w:p w14:paraId="69104331" w14:textId="38BEB3D6" w:rsidR="00BF2EED" w:rsidRPr="00DC5792" w:rsidRDefault="00366B4F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843" w14:textId="77777777" w:rsidR="00BF2EED" w:rsidRPr="00DC5792" w:rsidRDefault="00BF2EE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6AC" w14:textId="77777777" w:rsidR="00BF2EED" w:rsidRPr="00DC5792" w:rsidRDefault="00BF2EE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79513A2E" w14:textId="77777777" w:rsidTr="00DC5792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3C72" w14:textId="5F3A00BC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1BE2D" w14:textId="32F38BD4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  <w:t>Véc tơ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A346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Khái niệm mở đầu</w:t>
            </w:r>
          </w:p>
          <w:p w14:paraId="2DD29AB5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Tổng hiệu hai véc tơ</w:t>
            </w:r>
          </w:p>
          <w:p w14:paraId="0385E946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Tích của véc tơ với một số</w:t>
            </w:r>
          </w:p>
          <w:p w14:paraId="4352DBE6" w14:textId="77777777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Véc tơ trong mặt phẳng tọa độ</w:t>
            </w:r>
          </w:p>
          <w:p w14:paraId="33D9A4B5" w14:textId="5CCAEC9B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Tích vô hướng của hai véc tơ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2C2D" w14:textId="77777777" w:rsidR="00D35124" w:rsidRPr="00DC5792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DC5792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41A695D6" w14:textId="77777777" w:rsidR="00D35124" w:rsidRPr="00DC5792" w:rsidRDefault="00D35124" w:rsidP="00D35124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Nhận biết được khái niệm vectơ, vectơ bằng nhau, vectơ-không. </w:t>
            </w:r>
          </w:p>
          <w:p w14:paraId="2ECF0444" w14:textId="77777777" w:rsidR="00D35124" w:rsidRPr="00DC5792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56E37028" w14:textId="77777777" w:rsidR="00D35124" w:rsidRPr="00DC5792" w:rsidRDefault="00D35124" w:rsidP="00D35124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Thực hiện được các phép toán trên vectơ (tổng và hiệu hai vectơ, tích của một số với vectơ, tích vô hướng của hai vectơ) </w:t>
            </w:r>
          </w:p>
          <w:p w14:paraId="6E5284FF" w14:textId="77777777" w:rsidR="00D35124" w:rsidRPr="00DC5792" w:rsidRDefault="00D35124" w:rsidP="00D35124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>- Mô tả được những tính chất hình học (ba điểm thẳng hàng, trung điểm của đoạn thẳng, trọng tâm của tam giác,...) bằng vectơ.</w:t>
            </w:r>
          </w:p>
          <w:p w14:paraId="6EC51C00" w14:textId="77777777" w:rsidR="00D35124" w:rsidRPr="00DC5792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53C132DE" w14:textId="7EB7115C" w:rsidR="00D35124" w:rsidRPr="0076191B" w:rsidRDefault="00D35124" w:rsidP="0076191B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  <w:lang w:val="da-DK"/>
              </w:rPr>
              <w:t>– Sử dụng được vectơ và các phép toán trên vectơ để giải thích một số hiện tượng có liên quan đến Vật lí và Hoá học (ví dụ: những vấn đề liên quan đến lực, đến chuyển động,...).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B13" w14:textId="7074FC64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982" w14:textId="47AB3166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0F1C" w14:textId="0705DD61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pacing w:val="-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6E0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4BFA248B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A22B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1E31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E16" w14:textId="16AF6AF3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F522" w14:textId="737378EC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C33C" w14:textId="5701AD45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9,10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33D" w14:textId="06411E60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11,12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153" w14:textId="58EBC9D0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1C8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5CC05723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B0C9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5D0CF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5B1C" w14:textId="4083311A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C06B4" w14:textId="4835AE60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6D0" w14:textId="5FBC934F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14, 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0DC" w14:textId="32E3205A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16, 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3B6" w14:textId="5C291CF2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427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468B63D5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3DCF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E93E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E74" w14:textId="678A63A9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63DAA" w14:textId="27034BF6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075" w14:textId="61113979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19,20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035" w14:textId="04BF02F9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B7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1BF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2AC02F03" w14:textId="77777777" w:rsidTr="00DC579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3F3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1A4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7B8B" w14:textId="23CDFD2D" w:rsidR="00D35124" w:rsidRPr="00DC5792" w:rsidRDefault="00D35124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4A9A" w14:textId="77777777" w:rsidR="00D35124" w:rsidRPr="00DC5792" w:rsidRDefault="00D35124" w:rsidP="00230B91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4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DE3E" w14:textId="2562C9F2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22, 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EABB" w14:textId="04896BB5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3E8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25</w:t>
            </w:r>
          </w:p>
          <w:p w14:paraId="64F35611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</w:p>
          <w:p w14:paraId="2901EB97" w14:textId="6639A4B0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C9A9" w14:textId="02DEEEF0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5D6F88CD" w14:textId="77777777" w:rsidTr="00C35AB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A060" w14:textId="1ADFFC6A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596B" w14:textId="7B096F04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  <w:t>Số gần đúng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5BA3" w14:textId="77777777" w:rsidR="00D35124" w:rsidRPr="00DC5792" w:rsidRDefault="00D35124" w:rsidP="000D7A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  <w:t>Số gần đúng và sai số</w:t>
            </w:r>
          </w:p>
          <w:p w14:paraId="61882FD7" w14:textId="59B4E601" w:rsidR="00D35124" w:rsidRPr="00DC5792" w:rsidRDefault="00D35124" w:rsidP="000D7A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59E28" w14:textId="77777777" w:rsidR="00D35124" w:rsidRPr="00DC5792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DC5792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00E147F7" w14:textId="77777777" w:rsidR="00D35124" w:rsidRPr="00DC5792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</w:rPr>
              <w:t>– Hiểu được khái niệm số gần đúng, sai số tuyệt đối.</w:t>
            </w:r>
          </w:p>
          <w:p w14:paraId="5D9283A1" w14:textId="77777777" w:rsidR="00D35124" w:rsidRPr="00DC5792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58D09A78" w14:textId="77777777" w:rsidR="00D35124" w:rsidRPr="00DC5792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</w:rPr>
              <w:t>– Xác định được số gần đúng của một số với độ chính xác cho trước.</w:t>
            </w:r>
          </w:p>
          <w:p w14:paraId="55C2D0DF" w14:textId="77777777" w:rsidR="00D35124" w:rsidRPr="00DC5792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</w:rPr>
              <w:t>– Xác định được sai số tương đối của số gần đúng.</w:t>
            </w:r>
          </w:p>
          <w:p w14:paraId="2DD3EEB4" w14:textId="77777777" w:rsidR="00D35124" w:rsidRPr="00DC5792" w:rsidRDefault="00D35124" w:rsidP="00D35124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36793440" w14:textId="77777777" w:rsidR="00D35124" w:rsidRPr="00DC5792" w:rsidRDefault="00D35124" w:rsidP="00D35124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</w:rPr>
              <w:t>– Xác định được số quy tròn của số gần đúng với độ chính xác cho trước.</w:t>
            </w:r>
          </w:p>
          <w:p w14:paraId="40A0405E" w14:textId="62D65251" w:rsidR="00D35124" w:rsidRPr="00DC5792" w:rsidRDefault="00D35124" w:rsidP="00D35124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</w:rPr>
              <w:t>– Biết sử dụng máy tính cầm tay để tính toán với các số gần đúng.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A40" w14:textId="015D340E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CDD" w14:textId="4F7BF490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E8A" w14:textId="0AFA6CDC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F53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D35124" w:rsidRPr="00DC5792" w14:paraId="4DDF9E1D" w14:textId="77777777" w:rsidTr="00C35AB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E2FA" w14:textId="77777777" w:rsidR="00D35124" w:rsidRPr="00DC5792" w:rsidRDefault="00D35124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6112" w14:textId="77777777" w:rsidR="00D35124" w:rsidRPr="00DC5792" w:rsidRDefault="00D35124" w:rsidP="003773D6">
            <w:pPr>
              <w:spacing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79E" w14:textId="1039C00D" w:rsidR="00D35124" w:rsidRPr="00DC5792" w:rsidRDefault="00D35124" w:rsidP="000D7A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val="da-DK"/>
              </w:rPr>
            </w:pPr>
          </w:p>
        </w:tc>
        <w:tc>
          <w:tcPr>
            <w:tcW w:w="1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E8F" w14:textId="59D8BB85" w:rsidR="00D35124" w:rsidRPr="00DC5792" w:rsidRDefault="00D35124" w:rsidP="000D7A74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EF3" w14:textId="138D9D9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29,30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430" w14:textId="77777777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31</w:t>
            </w: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 xml:space="preserve"> </w:t>
            </w:r>
          </w:p>
          <w:p w14:paraId="7C40B270" w14:textId="6BD40AE5" w:rsidR="00D35124" w:rsidRPr="00DC5792" w:rsidRDefault="00D351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C2B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 xml:space="preserve">Câu 32 </w:t>
            </w:r>
          </w:p>
          <w:p w14:paraId="590A5B70" w14:textId="69D5EC25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TL câu 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AEFA" w14:textId="77777777" w:rsidR="00D35124" w:rsidRPr="00DC5792" w:rsidRDefault="00D35124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2F58A4" w:rsidRPr="00DC5792" w14:paraId="55D3FADB" w14:textId="77777777" w:rsidTr="0012303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181" w14:textId="51C5D527" w:rsidR="00924F57" w:rsidRPr="00DC5792" w:rsidRDefault="00924F57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A97F" w14:textId="77777777" w:rsidR="00924F57" w:rsidRPr="00DC5792" w:rsidRDefault="00924F57" w:rsidP="003773D6">
            <w:pPr>
              <w:spacing w:line="256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CF9" w14:textId="77777777" w:rsidR="00924F57" w:rsidRPr="00DC5792" w:rsidRDefault="00924F57" w:rsidP="000D7A74">
            <w:pPr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C5792">
              <w:rPr>
                <w:rFonts w:ascii="Times New Roman" w:eastAsia="Calibri" w:hAnsi="Times New Roman" w:cs="Times New Roman"/>
                <w:bCs/>
                <w:i/>
                <w:color w:val="000000" w:themeColor="text1"/>
                <w:lang w:val="vi-VN"/>
              </w:rPr>
              <w:t xml:space="preserve">Các số đặc trưng 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đo mức độ phân tán</w:t>
            </w:r>
          </w:p>
          <w:p w14:paraId="0BA4397E" w14:textId="1641000D" w:rsidR="00DC5792" w:rsidRPr="00DC5792" w:rsidRDefault="00DC5792" w:rsidP="000D7A74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lang w:val="vi-VN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C4A" w14:textId="77777777" w:rsidR="00DC5792" w:rsidRPr="00DC5792" w:rsidRDefault="00DC5792" w:rsidP="00DC5792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DC5792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7D3F98FC" w14:textId="77777777" w:rsidR="00924F57" w:rsidRPr="00DC5792" w:rsidRDefault="00DC5792" w:rsidP="00DC5792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vi-VN"/>
              </w:rPr>
            </w:pPr>
            <w:r w:rsidRPr="00DC5792">
              <w:rPr>
                <w:rFonts w:ascii="Times New Roman" w:eastAsia="Calibri" w:hAnsi="Times New Roman" w:cs="Times New Roman"/>
                <w:color w:val="000000"/>
              </w:rPr>
              <w:t>Phát hiện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color w:val="000000"/>
              </w:rPr>
              <w:t xml:space="preserve">và lí giải 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được số liệu không chính xác </w:t>
            </w:r>
            <w:r w:rsidRPr="00DC5792">
              <w:rPr>
                <w:rFonts w:ascii="Times New Roman" w:eastAsia="Calibri" w:hAnsi="Times New Roman" w:cs="Times New Roman"/>
                <w:color w:val="000000"/>
              </w:rPr>
              <w:t xml:space="preserve">dựa trên 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>mối liên hệ toán học đơn giản giữa các số liệu đã được biểu diễn</w:t>
            </w:r>
            <w:r w:rsidRPr="00DC57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>trong nh</w:t>
            </w:r>
            <w:r w:rsidRPr="00DC5792">
              <w:rPr>
                <w:rFonts w:ascii="Times New Roman" w:eastAsia="Calibri" w:hAnsi="Times New Roman" w:cs="Times New Roman"/>
                <w:color w:val="000000"/>
              </w:rPr>
              <w:t>iều</w:t>
            </w:r>
            <w:r w:rsidRPr="00DC5792">
              <w:rPr>
                <w:rFonts w:ascii="Times New Roman" w:eastAsia="Calibri" w:hAnsi="Times New Roman" w:cs="Times New Roman"/>
                <w:color w:val="000000"/>
                <w:lang w:val="vi-VN"/>
              </w:rPr>
              <w:t xml:space="preserve"> ví dụ.</w:t>
            </w:r>
          </w:p>
          <w:p w14:paraId="0F5B3496" w14:textId="77777777" w:rsidR="00DC5792" w:rsidRPr="00DC5792" w:rsidRDefault="00DC5792" w:rsidP="00DC5792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DC57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38FD1E7B" w14:textId="77777777" w:rsidR="00DC5792" w:rsidRPr="00DC5792" w:rsidRDefault="00DC5792" w:rsidP="00DC5792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– Tính được số đặc trưng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đo xu thế trung tâm cho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mẫu số liệu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không ghép nhóm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: số trung bình cộng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(hay số trung bình),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trung vị (</w:t>
            </w:r>
            <w:r w:rsidRPr="00DC5792">
              <w:rPr>
                <w:rFonts w:ascii="Times New Roman" w:eastAsia="Calibri" w:hAnsi="Times New Roman" w:cs="Times New Roman"/>
                <w:i/>
                <w:color w:val="000000"/>
                <w:lang w:val="vi-VN"/>
              </w:rPr>
              <w:t>median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),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>tứ phân vị (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</w:rPr>
              <w:t>quartiles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),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mốt (</w:t>
            </w:r>
            <w:r w:rsidRPr="00DC5792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>mode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).</w:t>
            </w:r>
          </w:p>
          <w:p w14:paraId="6187332B" w14:textId="77777777" w:rsidR="00DC5792" w:rsidRPr="00DC5792" w:rsidRDefault="00DC5792" w:rsidP="00DC5792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</w:rPr>
              <w:t>Vận dụng cao</w:t>
            </w:r>
          </w:p>
          <w:p w14:paraId="363E4DC6" w14:textId="3A131F1A" w:rsidR="00DC5792" w:rsidRPr="00271E86" w:rsidRDefault="00DC5792" w:rsidP="00271E86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–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>Giải thích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được ý nghĩa và vai trò của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các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số đặc trưng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nói trên </w:t>
            </w:r>
            <w:r w:rsidRPr="00DC5792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của mẫu số liệu trong thực tiễn.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64D9" w14:textId="5170F719" w:rsidR="00924F57" w:rsidRPr="00DC5792" w:rsidRDefault="008F001E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da-DK"/>
              </w:rPr>
              <w:t>Câu 33, 34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9FC" w14:textId="0DAEAD72" w:rsidR="00924F57" w:rsidRPr="00DC5792" w:rsidRDefault="008F001E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  <w:t>Câu 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861" w14:textId="77777777" w:rsidR="00924F57" w:rsidRPr="00DC5792" w:rsidRDefault="00924F57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da-DK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74B" w14:textId="77777777" w:rsidR="00924F57" w:rsidRPr="00DC5792" w:rsidRDefault="00924F57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</w:tr>
      <w:tr w:rsidR="002F58A4" w:rsidRPr="00DC5792" w14:paraId="70AE83C9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E72" w14:textId="77777777" w:rsidR="00924F57" w:rsidRPr="00DC5792" w:rsidRDefault="00924F57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lang w:val="en-AU"/>
              </w:rPr>
              <w:t>Tổng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B2C" w14:textId="77777777" w:rsidR="00924F57" w:rsidRPr="00DC5792" w:rsidRDefault="00924F57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611" w14:textId="0D0631D6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746" w14:textId="78604318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DE3" w14:textId="712F8589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5EB" w14:textId="77777777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</w:t>
            </w:r>
          </w:p>
        </w:tc>
      </w:tr>
      <w:tr w:rsidR="002F58A4" w:rsidRPr="00DC5792" w14:paraId="2AA97885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7CB" w14:textId="77777777" w:rsidR="00924F57" w:rsidRPr="00DC5792" w:rsidRDefault="00924F57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lang w:val="en-AU"/>
              </w:rPr>
              <w:t>Tỉ lệ 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7A9" w14:textId="77777777" w:rsidR="00924F57" w:rsidRPr="00DC5792" w:rsidRDefault="00924F57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467" w14:textId="14ED5F24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36%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6EB" w14:textId="22A7018B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34%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6D3" w14:textId="2BCC2FF5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20%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AC7" w14:textId="05962091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10%</w:t>
            </w:r>
          </w:p>
        </w:tc>
      </w:tr>
      <w:tr w:rsidR="00924F57" w:rsidRPr="00DC5792" w14:paraId="41AD7789" w14:textId="77777777" w:rsidTr="00AF74FC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C72" w14:textId="77777777" w:rsidR="00924F57" w:rsidRPr="00DC5792" w:rsidRDefault="00924F57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lang w:val="da-DK"/>
              </w:rPr>
            </w:pPr>
            <w:r w:rsidRPr="00DC57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8"/>
                <w:lang w:val="en-AU"/>
              </w:rPr>
              <w:t>Tỉ lệ chung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69A" w14:textId="77777777" w:rsidR="00924F57" w:rsidRPr="00DC5792" w:rsidRDefault="00924F57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1ABB" w14:textId="77777777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4A47" w14:textId="77777777" w:rsidR="00924F57" w:rsidRPr="00DC5792" w:rsidRDefault="00924F57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</w:pPr>
            <w:r w:rsidRPr="00DC5792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-8"/>
              </w:rPr>
              <w:t>30%</w:t>
            </w:r>
          </w:p>
        </w:tc>
      </w:tr>
    </w:tbl>
    <w:p w14:paraId="36CF926B" w14:textId="77777777" w:rsidR="00AF74FC" w:rsidRPr="00DC5792" w:rsidRDefault="00AF74FC" w:rsidP="00E06CAB">
      <w:pPr>
        <w:rPr>
          <w:rFonts w:ascii="Times New Roman" w:hAnsi="Times New Roman" w:cs="Times New Roman"/>
          <w:color w:val="000000" w:themeColor="text1"/>
        </w:rPr>
      </w:pPr>
    </w:p>
    <w:sectPr w:rsidR="00AF74FC" w:rsidRPr="00DC5792" w:rsidSect="005E751B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CD3"/>
    <w:multiLevelType w:val="hybridMultilevel"/>
    <w:tmpl w:val="80B8AFA6"/>
    <w:lvl w:ilvl="0" w:tplc="18921D80">
      <w:start w:val="1"/>
      <w:numFmt w:val="decimal"/>
      <w:lvlText w:val="Câu %1."/>
      <w:lvlJc w:val="left"/>
      <w:pPr>
        <w:ind w:left="3663" w:hanging="360"/>
      </w:pPr>
      <w:rPr>
        <w:rFonts w:ascii="Times New Roman" w:hAnsi="Times New Roman" w:hint="default"/>
        <w:b/>
        <w:i w:val="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383" w:hanging="360"/>
      </w:pPr>
    </w:lvl>
    <w:lvl w:ilvl="2" w:tplc="0409001B" w:tentative="1">
      <w:start w:val="1"/>
      <w:numFmt w:val="lowerRoman"/>
      <w:lvlText w:val="%3."/>
      <w:lvlJc w:val="right"/>
      <w:pPr>
        <w:ind w:left="5103" w:hanging="180"/>
      </w:pPr>
    </w:lvl>
    <w:lvl w:ilvl="3" w:tplc="0409000F" w:tentative="1">
      <w:start w:val="1"/>
      <w:numFmt w:val="decimal"/>
      <w:lvlText w:val="%4."/>
      <w:lvlJc w:val="left"/>
      <w:pPr>
        <w:ind w:left="5823" w:hanging="360"/>
      </w:pPr>
    </w:lvl>
    <w:lvl w:ilvl="4" w:tplc="04090019" w:tentative="1">
      <w:start w:val="1"/>
      <w:numFmt w:val="lowerLetter"/>
      <w:lvlText w:val="%5."/>
      <w:lvlJc w:val="left"/>
      <w:pPr>
        <w:ind w:left="6543" w:hanging="360"/>
      </w:pPr>
    </w:lvl>
    <w:lvl w:ilvl="5" w:tplc="0409001B" w:tentative="1">
      <w:start w:val="1"/>
      <w:numFmt w:val="lowerRoman"/>
      <w:lvlText w:val="%6."/>
      <w:lvlJc w:val="right"/>
      <w:pPr>
        <w:ind w:left="7263" w:hanging="180"/>
      </w:pPr>
    </w:lvl>
    <w:lvl w:ilvl="6" w:tplc="0409000F" w:tentative="1">
      <w:start w:val="1"/>
      <w:numFmt w:val="decimal"/>
      <w:lvlText w:val="%7."/>
      <w:lvlJc w:val="left"/>
      <w:pPr>
        <w:ind w:left="7983" w:hanging="360"/>
      </w:pPr>
    </w:lvl>
    <w:lvl w:ilvl="7" w:tplc="04090019" w:tentative="1">
      <w:start w:val="1"/>
      <w:numFmt w:val="lowerLetter"/>
      <w:lvlText w:val="%8."/>
      <w:lvlJc w:val="left"/>
      <w:pPr>
        <w:ind w:left="8703" w:hanging="360"/>
      </w:pPr>
    </w:lvl>
    <w:lvl w:ilvl="8" w:tplc="0409001B" w:tentative="1">
      <w:start w:val="1"/>
      <w:numFmt w:val="lowerRoman"/>
      <w:lvlText w:val="%9."/>
      <w:lvlJc w:val="right"/>
      <w:pPr>
        <w:ind w:left="9423" w:hanging="180"/>
      </w:pPr>
    </w:lvl>
  </w:abstractNum>
  <w:abstractNum w:abstractNumId="1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6C9"/>
    <w:multiLevelType w:val="hybridMultilevel"/>
    <w:tmpl w:val="B370704A"/>
    <w:lvl w:ilvl="0" w:tplc="1040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4A"/>
    <w:rsid w:val="00043880"/>
    <w:rsid w:val="00065C53"/>
    <w:rsid w:val="000A2EEF"/>
    <w:rsid w:val="000D426E"/>
    <w:rsid w:val="000D7A74"/>
    <w:rsid w:val="000F6157"/>
    <w:rsid w:val="0012449C"/>
    <w:rsid w:val="00127809"/>
    <w:rsid w:val="00143937"/>
    <w:rsid w:val="0014758A"/>
    <w:rsid w:val="001F2C11"/>
    <w:rsid w:val="001F43FC"/>
    <w:rsid w:val="00205141"/>
    <w:rsid w:val="002162A8"/>
    <w:rsid w:val="00230B91"/>
    <w:rsid w:val="00251038"/>
    <w:rsid w:val="002511C5"/>
    <w:rsid w:val="002562EC"/>
    <w:rsid w:val="00256A03"/>
    <w:rsid w:val="00271E86"/>
    <w:rsid w:val="0027644A"/>
    <w:rsid w:val="0029031D"/>
    <w:rsid w:val="002A3137"/>
    <w:rsid w:val="002B28D3"/>
    <w:rsid w:val="002D10B7"/>
    <w:rsid w:val="002D3E6C"/>
    <w:rsid w:val="002E4793"/>
    <w:rsid w:val="002F58A4"/>
    <w:rsid w:val="002F7C79"/>
    <w:rsid w:val="00316056"/>
    <w:rsid w:val="003326B7"/>
    <w:rsid w:val="003519B8"/>
    <w:rsid w:val="0035683C"/>
    <w:rsid w:val="00360362"/>
    <w:rsid w:val="00366B4F"/>
    <w:rsid w:val="003773D6"/>
    <w:rsid w:val="003B6712"/>
    <w:rsid w:val="003B68A7"/>
    <w:rsid w:val="003E29A9"/>
    <w:rsid w:val="003E6923"/>
    <w:rsid w:val="0041398B"/>
    <w:rsid w:val="00477C0D"/>
    <w:rsid w:val="004A0ADA"/>
    <w:rsid w:val="004C2D90"/>
    <w:rsid w:val="004E5FBE"/>
    <w:rsid w:val="005A2079"/>
    <w:rsid w:val="005C7D75"/>
    <w:rsid w:val="005E751B"/>
    <w:rsid w:val="0060365C"/>
    <w:rsid w:val="00630E65"/>
    <w:rsid w:val="0069350A"/>
    <w:rsid w:val="006B3B39"/>
    <w:rsid w:val="006B52F1"/>
    <w:rsid w:val="006D242E"/>
    <w:rsid w:val="006D6932"/>
    <w:rsid w:val="006F10EB"/>
    <w:rsid w:val="0071216B"/>
    <w:rsid w:val="007356A6"/>
    <w:rsid w:val="0073765E"/>
    <w:rsid w:val="00747C0E"/>
    <w:rsid w:val="00751FCC"/>
    <w:rsid w:val="0076191B"/>
    <w:rsid w:val="007A0B62"/>
    <w:rsid w:val="007A5052"/>
    <w:rsid w:val="007C2CD7"/>
    <w:rsid w:val="007D3B08"/>
    <w:rsid w:val="00843827"/>
    <w:rsid w:val="00853497"/>
    <w:rsid w:val="0087099D"/>
    <w:rsid w:val="008977CE"/>
    <w:rsid w:val="008B51E6"/>
    <w:rsid w:val="008D31B8"/>
    <w:rsid w:val="008F001E"/>
    <w:rsid w:val="00911CA7"/>
    <w:rsid w:val="00924F57"/>
    <w:rsid w:val="0092667E"/>
    <w:rsid w:val="009440FB"/>
    <w:rsid w:val="009A1709"/>
    <w:rsid w:val="00A116A8"/>
    <w:rsid w:val="00A347F2"/>
    <w:rsid w:val="00A46033"/>
    <w:rsid w:val="00A473F6"/>
    <w:rsid w:val="00A724D1"/>
    <w:rsid w:val="00A73CD5"/>
    <w:rsid w:val="00A73CE1"/>
    <w:rsid w:val="00A9173C"/>
    <w:rsid w:val="00AC16C3"/>
    <w:rsid w:val="00AF74FC"/>
    <w:rsid w:val="00B00975"/>
    <w:rsid w:val="00B1201E"/>
    <w:rsid w:val="00B132D7"/>
    <w:rsid w:val="00B17296"/>
    <w:rsid w:val="00B2182E"/>
    <w:rsid w:val="00B71B23"/>
    <w:rsid w:val="00B832B8"/>
    <w:rsid w:val="00BB5E0C"/>
    <w:rsid w:val="00BC160D"/>
    <w:rsid w:val="00BF2EED"/>
    <w:rsid w:val="00C26231"/>
    <w:rsid w:val="00C42AAB"/>
    <w:rsid w:val="00C53C1D"/>
    <w:rsid w:val="00C829DF"/>
    <w:rsid w:val="00D32663"/>
    <w:rsid w:val="00D35124"/>
    <w:rsid w:val="00D46E9C"/>
    <w:rsid w:val="00D8079B"/>
    <w:rsid w:val="00D96AB8"/>
    <w:rsid w:val="00DA0EF1"/>
    <w:rsid w:val="00DC5792"/>
    <w:rsid w:val="00DC6976"/>
    <w:rsid w:val="00DE2389"/>
    <w:rsid w:val="00E06CAB"/>
    <w:rsid w:val="00E25E7F"/>
    <w:rsid w:val="00E42E6B"/>
    <w:rsid w:val="00E51A3E"/>
    <w:rsid w:val="00E64F67"/>
    <w:rsid w:val="00E65913"/>
    <w:rsid w:val="00EB3051"/>
    <w:rsid w:val="00EF09A6"/>
    <w:rsid w:val="00EF1A43"/>
    <w:rsid w:val="00F50FB8"/>
    <w:rsid w:val="00F6530B"/>
    <w:rsid w:val="00F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F74F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D10B7"/>
  </w:style>
  <w:style w:type="character" w:customStyle="1" w:styleId="VerbatimChar">
    <w:name w:val="Verbatim Char"/>
    <w:rsid w:val="002D10B7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D10B7"/>
  </w:style>
  <w:style w:type="paragraph" w:customStyle="1" w:styleId="MTDisplayEquation">
    <w:name w:val="MTDisplayEquation"/>
    <w:basedOn w:val="Normal"/>
    <w:next w:val="Normal"/>
    <w:link w:val="MTDisplayEquationChar"/>
    <w:rsid w:val="002D10B7"/>
    <w:pPr>
      <w:tabs>
        <w:tab w:val="center" w:pos="4320"/>
        <w:tab w:val="right" w:pos="8640"/>
      </w:tabs>
      <w:spacing w:after="240" w:line="240" w:lineRule="atLeast"/>
    </w:pPr>
    <w:rPr>
      <w:rFonts w:ascii="Georgia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2D10B7"/>
    <w:rPr>
      <w:rFonts w:ascii="Georgia" w:hAnsiTheme="minorHAnsi"/>
      <w:sz w:val="22"/>
    </w:rPr>
  </w:style>
  <w:style w:type="paragraph" w:customStyle="1" w:styleId="Normal0">
    <w:name w:val="Normal_0"/>
    <w:qFormat/>
    <w:rsid w:val="002D10B7"/>
    <w:pPr>
      <w:widowControl w:val="0"/>
      <w:spacing w:after="0"/>
    </w:pPr>
    <w:rPr>
      <w:rFonts w:ascii="Arial" w:eastAsia="Arial" w:hAnsi="Arial" w:cs="Times New Roman"/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2D10B7"/>
    <w:rPr>
      <w:rFonts w:asciiTheme="minorHAnsi" w:hAnsi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2D10B7"/>
    <w:pPr>
      <w:spacing w:after="0" w:line="360" w:lineRule="auto"/>
      <w:jc w:val="center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D10B7"/>
    <w:rPr>
      <w:sz w:val="24"/>
    </w:rPr>
  </w:style>
  <w:style w:type="character" w:customStyle="1" w:styleId="YoungMixChar">
    <w:name w:val="YoungMix_Char"/>
    <w:rsid w:val="002D10B7"/>
    <w:rPr>
      <w:rFonts w:ascii="Times New Roman" w:hAnsi="Times New Roman" w:cs="Times New Roman" w:hint="default"/>
      <w:sz w:val="24"/>
    </w:rPr>
  </w:style>
  <w:style w:type="paragraph" w:customStyle="1" w:styleId="Normal043">
    <w:name w:val="Normal_0_43"/>
    <w:qFormat/>
    <w:rsid w:val="002D10B7"/>
    <w:pPr>
      <w:spacing w:after="0"/>
    </w:pPr>
    <w:rPr>
      <w:rFonts w:eastAsia="Calibri" w:cs="Times New Roman"/>
      <w:sz w:val="20"/>
      <w:szCs w:val="20"/>
    </w:rPr>
  </w:style>
  <w:style w:type="paragraph" w:customStyle="1" w:styleId="Normal1">
    <w:name w:val="Normal_1"/>
    <w:qFormat/>
    <w:rsid w:val="002D10B7"/>
    <w:pPr>
      <w:spacing w:after="0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2D10B7"/>
    <w:pPr>
      <w:spacing w:after="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0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F74F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D10B7"/>
  </w:style>
  <w:style w:type="character" w:customStyle="1" w:styleId="VerbatimChar">
    <w:name w:val="Verbatim Char"/>
    <w:rsid w:val="002D10B7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D10B7"/>
  </w:style>
  <w:style w:type="paragraph" w:customStyle="1" w:styleId="MTDisplayEquation">
    <w:name w:val="MTDisplayEquation"/>
    <w:basedOn w:val="Normal"/>
    <w:next w:val="Normal"/>
    <w:link w:val="MTDisplayEquationChar"/>
    <w:rsid w:val="002D10B7"/>
    <w:pPr>
      <w:tabs>
        <w:tab w:val="center" w:pos="4320"/>
        <w:tab w:val="right" w:pos="8640"/>
      </w:tabs>
      <w:spacing w:after="240" w:line="240" w:lineRule="atLeast"/>
    </w:pPr>
    <w:rPr>
      <w:rFonts w:ascii="Georgia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2D10B7"/>
    <w:rPr>
      <w:rFonts w:ascii="Georgia" w:hAnsiTheme="minorHAnsi"/>
      <w:sz w:val="22"/>
    </w:rPr>
  </w:style>
  <w:style w:type="paragraph" w:customStyle="1" w:styleId="Normal0">
    <w:name w:val="Normal_0"/>
    <w:qFormat/>
    <w:rsid w:val="002D10B7"/>
    <w:pPr>
      <w:widowControl w:val="0"/>
      <w:spacing w:after="0"/>
    </w:pPr>
    <w:rPr>
      <w:rFonts w:ascii="Arial" w:eastAsia="Arial" w:hAnsi="Arial" w:cs="Times New Roman"/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2D10B7"/>
    <w:rPr>
      <w:rFonts w:asciiTheme="minorHAnsi" w:hAnsi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2D10B7"/>
    <w:pPr>
      <w:spacing w:after="0" w:line="360" w:lineRule="auto"/>
      <w:jc w:val="center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D10B7"/>
    <w:rPr>
      <w:sz w:val="24"/>
    </w:rPr>
  </w:style>
  <w:style w:type="character" w:customStyle="1" w:styleId="YoungMixChar">
    <w:name w:val="YoungMix_Char"/>
    <w:rsid w:val="002D10B7"/>
    <w:rPr>
      <w:rFonts w:ascii="Times New Roman" w:hAnsi="Times New Roman" w:cs="Times New Roman" w:hint="default"/>
      <w:sz w:val="24"/>
    </w:rPr>
  </w:style>
  <w:style w:type="paragraph" w:customStyle="1" w:styleId="Normal043">
    <w:name w:val="Normal_0_43"/>
    <w:qFormat/>
    <w:rsid w:val="002D10B7"/>
    <w:pPr>
      <w:spacing w:after="0"/>
    </w:pPr>
    <w:rPr>
      <w:rFonts w:eastAsia="Calibri" w:cs="Times New Roman"/>
      <w:sz w:val="20"/>
      <w:szCs w:val="20"/>
    </w:rPr>
  </w:style>
  <w:style w:type="paragraph" w:customStyle="1" w:styleId="Normal1">
    <w:name w:val="Normal_1"/>
    <w:qFormat/>
    <w:rsid w:val="002D10B7"/>
    <w:pPr>
      <w:spacing w:after="0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2D10B7"/>
    <w:pPr>
      <w:spacing w:after="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0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642</Words>
  <Characters>3664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2023-10-11T02:50:00Z</dcterms:created>
  <dcterms:modified xsi:type="dcterms:W3CDTF">2023-10-11T03:13:00Z</dcterms:modified>
</cp:coreProperties>
</file>