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81"/>
        <w:gridCol w:w="2335"/>
        <w:tblGridChange w:id="0">
          <w:tblGrid>
            <w:gridCol w:w="6681"/>
            <w:gridCol w:w="2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SPEAKING TEST 5 (SEMESTER 2)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b050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(UNITS 9 &amp;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8113"/>
        <w:tblGridChange w:id="0">
          <w:tblGrid>
            <w:gridCol w:w="567"/>
            <w:gridCol w:w="567"/>
            <w:gridCol w:w="529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3"/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a natural disaster you experienced </w:t>
            </w: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or heard about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The following questions may help you.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70ad47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kind of natural disasters did you experience/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heard about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and where did it occur?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did you/ people prepare for it?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were its consequences?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How did the rescue workers do to help the victims?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8113"/>
        <w:tblGridChange w:id="0">
          <w:tblGrid>
            <w:gridCol w:w="1663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2E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1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2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4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2540</wp:posOffset>
                  </wp:positionV>
                  <wp:extent cx="2346960" cy="1469136"/>
                  <wp:effectExtent b="0" l="0" r="0" t="0"/>
                  <wp:wrapNone/>
                  <wp:docPr id="4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4691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kind/ communication/ it?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it/ work?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advantages?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disadvantages?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you/ think/ it/ be/ like/ the future?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F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2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3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235275</wp:posOffset>
                  </wp:positionH>
                  <wp:positionV relativeFrom="paragraph">
                    <wp:posOffset>131316</wp:posOffset>
                  </wp:positionV>
                  <wp:extent cx="2201520" cy="1780731"/>
                  <wp:effectExtent b="0" l="0" r="0" t="0"/>
                  <wp:wrapNone/>
                  <wp:docPr descr="Voice Messages Concept Tiny Girl Use Microphone In Smartphone To Record  Message Or Talk To Voice Assistant Chat App Modern Flat Cartoon Style  Vector Illustration On White Background Stock Illustration - Download" id="49" name="image4.jpg"/>
                  <a:graphic>
                    <a:graphicData uri="http://schemas.openxmlformats.org/drawingml/2006/picture">
                      <pic:pic>
                        <pic:nvPicPr>
                          <pic:cNvPr descr="Voice Messages Concept Tiny Girl Use Microphone In Smartphone To Record  Message Or Talk To Voice Assistant Chat App Modern Flat Cartoon Style  Vector Illustration On White Background Stock Illustration - Download"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20" cy="17807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kind/ communication/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it/ work?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advantages?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disadvantages?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you/ think/ it/ be/ like/ the future?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  <w:right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ind w:left="179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50" name="image2.png"/>
          <a:graphic>
            <a:graphicData uri="http://schemas.openxmlformats.org/drawingml/2006/picture">
              <pic:pic>
                <pic:nvPicPr>
                  <pic:cNvPr descr="TA8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C7A"/>
    <w:rPr>
      <w:rFonts w:ascii="Open Sans" w:hAnsi="Open Sans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A7C7A"/>
    <w:pPr>
      <w:spacing w:after="0" w:line="240" w:lineRule="auto"/>
    </w:pPr>
    <w:rPr>
      <w:rFonts w:ascii="Open Sans" w:hAnsi="Open Sans"/>
      <w:sz w:val="24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A7C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7C7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2A7C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7C7A"/>
    <w:rPr>
      <w:rFonts w:ascii="Open Sans" w:hAnsi="Open Sans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kMgAGLQpjvKUEzKzYcYThmpNdA==">AMUW2mUZY56fJqaZQ0LbNATgVYbBV01r9OfQ5CA2hPVrQnXVDbXIYrQHAK5KPjx4CqpAuiJD72uZ63gIJeFO75PPjgHtRw8jA84uWLYLwstEfUXMrIKfySxfg6JmJ31VfCCNUSjvYbo+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2023-02-20T01:59:00Z</dcterms:created>
</cp:coreProperties>
</file>