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MA TRẬN ĐỀ KIỂM TRA CUỐI KỲ II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12 - THỜI GIAN LÀM BÀI: 45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682"/>
        <w:gridCol w:w="3338"/>
        <w:gridCol w:w="650"/>
        <w:gridCol w:w="910"/>
        <w:gridCol w:w="606"/>
        <w:gridCol w:w="911"/>
        <w:gridCol w:w="630"/>
        <w:gridCol w:w="1035"/>
        <w:gridCol w:w="630"/>
        <w:gridCol w:w="1014"/>
        <w:gridCol w:w="578"/>
        <w:gridCol w:w="565"/>
        <w:gridCol w:w="911"/>
        <w:gridCol w:w="765"/>
      </w:tblGrid>
      <w:tr w:rsidR="00A03B1E" w:rsidRPr="00A03B1E" w:rsidTr="002B2CFC">
        <w:trPr>
          <w:cantSplit/>
        </w:trPr>
        <w:tc>
          <w:tcPr>
            <w:tcW w:w="190" w:type="pct"/>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569" w:type="pct"/>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Nội dung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kiến thức</w:t>
            </w:r>
          </w:p>
        </w:tc>
        <w:tc>
          <w:tcPr>
            <w:tcW w:w="1129" w:type="pct"/>
            <w:vMerge w:val="restart"/>
            <w:shd w:val="clear" w:color="auto" w:fill="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2B2CFC" w:rsidRPr="00A03B1E">
              <w:rPr>
                <w:b/>
                <w:color w:val="000000" w:themeColor="text1"/>
                <w:sz w:val="26"/>
                <w:szCs w:val="26"/>
              </w:rPr>
              <w:t>, kĩ năng</w:t>
            </w:r>
          </w:p>
        </w:tc>
        <w:tc>
          <w:tcPr>
            <w:tcW w:w="2159" w:type="pct"/>
            <w:gridSpan w:val="8"/>
            <w:vAlign w:val="center"/>
          </w:tcPr>
          <w:p w:rsidR="00D124C4"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câu hỏi theo mức độ nhận thức</w:t>
            </w:r>
          </w:p>
        </w:tc>
        <w:tc>
          <w:tcPr>
            <w:tcW w:w="694" w:type="pct"/>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Tổng </w:t>
            </w:r>
          </w:p>
        </w:tc>
        <w:tc>
          <w:tcPr>
            <w:tcW w:w="259" w:type="pct"/>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tổng</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điểm  </w:t>
            </w:r>
          </w:p>
        </w:tc>
      </w:tr>
      <w:tr w:rsidR="00A03B1E" w:rsidRPr="00A03B1E" w:rsidTr="002B2CFC">
        <w:trPr>
          <w:trHeight w:val="360"/>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1129" w:type="pct"/>
            <w:vMerge/>
            <w:shd w:val="clear" w:color="auto" w:fill="auto"/>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27" w:type="pct"/>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Nhận biết </w:t>
            </w:r>
          </w:p>
        </w:tc>
        <w:tc>
          <w:tcPr>
            <w:tcW w:w="513" w:type="pct"/>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Thông hiểu </w:t>
            </w:r>
          </w:p>
        </w:tc>
        <w:tc>
          <w:tcPr>
            <w:tcW w:w="563" w:type="pct"/>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556" w:type="pct"/>
            <w:gridSpan w:val="2"/>
            <w:vAlign w:val="center"/>
          </w:tcPr>
          <w:p w:rsidR="00D124C4" w:rsidRPr="00A03B1E" w:rsidRDefault="00D124C4" w:rsidP="00100830">
            <w:pPr>
              <w:widowControl w:val="0"/>
              <w:spacing w:before="20" w:after="80" w:line="240" w:lineRule="auto"/>
              <w:jc w:val="center"/>
              <w:rPr>
                <w:b/>
                <w:color w:val="000000" w:themeColor="text1"/>
                <w:spacing w:val="-20"/>
                <w:sz w:val="26"/>
                <w:szCs w:val="26"/>
              </w:rPr>
            </w:pPr>
            <w:r w:rsidRPr="00A03B1E">
              <w:rPr>
                <w:b/>
                <w:color w:val="000000" w:themeColor="text1"/>
                <w:spacing w:val="-20"/>
                <w:sz w:val="26"/>
                <w:szCs w:val="26"/>
              </w:rPr>
              <w:t xml:space="preserve">Vận dụng cao </w:t>
            </w:r>
          </w:p>
        </w:tc>
        <w:tc>
          <w:tcPr>
            <w:tcW w:w="386" w:type="pct"/>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308" w:type="pct"/>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gian</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(phút)</w:t>
            </w:r>
          </w:p>
        </w:tc>
        <w:tc>
          <w:tcPr>
            <w:tcW w:w="259"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r>
      <w:tr w:rsidR="00A03B1E" w:rsidRPr="00A03B1E" w:rsidTr="002B2CFC">
        <w:trPr>
          <w:trHeight w:val="240"/>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1129" w:type="pct"/>
            <w:vMerge/>
            <w:shd w:val="clear" w:color="auto" w:fill="auto"/>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220"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308"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Thời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gian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(phút)</w:t>
            </w:r>
          </w:p>
        </w:tc>
        <w:tc>
          <w:tcPr>
            <w:tcW w:w="205"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Số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308"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gian</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(phút)</w:t>
            </w:r>
          </w:p>
        </w:tc>
        <w:tc>
          <w:tcPr>
            <w:tcW w:w="213"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Số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350"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gian (phút)</w:t>
            </w:r>
          </w:p>
        </w:tc>
        <w:tc>
          <w:tcPr>
            <w:tcW w:w="213"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Số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343"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Thời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gian (phút)</w:t>
            </w:r>
          </w:p>
        </w:tc>
        <w:tc>
          <w:tcPr>
            <w:tcW w:w="195"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TN</w:t>
            </w:r>
          </w:p>
        </w:tc>
        <w:tc>
          <w:tcPr>
            <w:tcW w:w="191"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TL</w:t>
            </w:r>
          </w:p>
        </w:tc>
        <w:tc>
          <w:tcPr>
            <w:tcW w:w="308"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r>
      <w:tr w:rsidR="00A03B1E" w:rsidRPr="00A03B1E" w:rsidTr="002B2CFC">
        <w:trPr>
          <w:trHeight w:val="70"/>
        </w:trPr>
        <w:tc>
          <w:tcPr>
            <w:tcW w:w="190" w:type="pct"/>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569" w:type="pct"/>
            <w:vMerge w:val="restart"/>
            <w:vAlign w:val="center"/>
          </w:tcPr>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Dao động và Sóng điện từ</w:t>
            </w: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1.1. Mạch dao động</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FootnoteReference"/>
                <w:color w:val="000000" w:themeColor="text1"/>
                <w:sz w:val="26"/>
                <w:szCs w:val="26"/>
              </w:rPr>
              <w:footnoteReference w:id="1"/>
            </w:r>
            <w:r w:rsidRPr="00A03B1E">
              <w:rPr>
                <w:color w:val="000000" w:themeColor="text1"/>
                <w:sz w:val="26"/>
                <w:szCs w:val="26"/>
                <w:vertAlign w:val="superscript"/>
              </w:rPr>
              <w:t>)</w:t>
            </w:r>
          </w:p>
        </w:tc>
        <w:tc>
          <w:tcPr>
            <w:tcW w:w="350"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4,5</w:t>
            </w:r>
          </w:p>
        </w:tc>
        <w:tc>
          <w:tcPr>
            <w:tcW w:w="213"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FootnoteReference"/>
                <w:color w:val="000000" w:themeColor="text1"/>
                <w:sz w:val="26"/>
                <w:szCs w:val="26"/>
              </w:rPr>
              <w:footnoteReference w:id="2"/>
            </w:r>
            <w:r w:rsidRPr="00A03B1E">
              <w:rPr>
                <w:color w:val="000000" w:themeColor="text1"/>
                <w:sz w:val="26"/>
                <w:szCs w:val="26"/>
                <w:vertAlign w:val="superscript"/>
              </w:rPr>
              <w:t>)</w:t>
            </w:r>
          </w:p>
        </w:tc>
        <w:tc>
          <w:tcPr>
            <w:tcW w:w="343"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6</w:t>
            </w: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191" w:type="pct"/>
            <w:vMerge w:val="restart"/>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08" w:type="pct"/>
            <w:vMerge w:val="restart"/>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21,5</w:t>
            </w:r>
          </w:p>
        </w:tc>
        <w:tc>
          <w:tcPr>
            <w:tcW w:w="259" w:type="pct"/>
            <w:vMerge w:val="restart"/>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47,5</w:t>
            </w:r>
          </w:p>
        </w:tc>
      </w:tr>
      <w:tr w:rsidR="00A03B1E" w:rsidRPr="00A03B1E" w:rsidTr="002B2CFC">
        <w:trPr>
          <w:trHeight w:val="70"/>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1.2. Điện từ trường</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225"/>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1.3. Sóng điện từ và nguyên tắc thông tin liên lạc bằng sóng vô tuyến</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330"/>
        </w:trPr>
        <w:tc>
          <w:tcPr>
            <w:tcW w:w="190" w:type="pct"/>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2</w:t>
            </w:r>
          </w:p>
        </w:tc>
        <w:tc>
          <w:tcPr>
            <w:tcW w:w="569" w:type="pct"/>
            <w:vMerge w:val="restart"/>
            <w:vAlign w:val="center"/>
          </w:tcPr>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Sóng ánh sáng</w:t>
            </w: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2.1. Tán sắc ánh sáng</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210"/>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2.2. Giao thoa ánh sáng</w:t>
            </w:r>
          </w:p>
        </w:tc>
        <w:tc>
          <w:tcPr>
            <w:tcW w:w="220"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70"/>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2.3. Đo bước sóng ánh sáng bằng phương pháp giao thoa</w:t>
            </w:r>
          </w:p>
        </w:tc>
        <w:tc>
          <w:tcPr>
            <w:tcW w:w="22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05"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70"/>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2.4. Các loại quang phổ</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315"/>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2.5. Tia hồng ngoại - Tia tử ngoại</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70"/>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2.6. Tia X</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237"/>
        </w:trPr>
        <w:tc>
          <w:tcPr>
            <w:tcW w:w="190" w:type="pct"/>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3</w:t>
            </w:r>
          </w:p>
        </w:tc>
        <w:tc>
          <w:tcPr>
            <w:tcW w:w="569" w:type="pct"/>
            <w:vMerge w:val="restart"/>
            <w:vAlign w:val="center"/>
          </w:tcPr>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 xml:space="preserve">Lượng tử </w:t>
            </w:r>
            <w:r w:rsidRPr="00A03B1E">
              <w:rPr>
                <w:b/>
                <w:color w:val="000000" w:themeColor="text1"/>
                <w:sz w:val="26"/>
                <w:szCs w:val="26"/>
              </w:rPr>
              <w:lastRenderedPageBreak/>
              <w:t>ánh sáng</w:t>
            </w: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lastRenderedPageBreak/>
              <w:t xml:space="preserve">3.1. Hiện tượng quang điện. </w:t>
            </w:r>
            <w:r w:rsidRPr="00A03B1E">
              <w:rPr>
                <w:bCs/>
                <w:color w:val="000000" w:themeColor="text1"/>
                <w:sz w:val="26"/>
                <w:szCs w:val="26"/>
              </w:rPr>
              <w:lastRenderedPageBreak/>
              <w:t>Thuyết lượng tử ánh sáng</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FootnoteReference"/>
                <w:color w:val="000000" w:themeColor="text1"/>
                <w:sz w:val="26"/>
                <w:szCs w:val="26"/>
              </w:rPr>
              <w:footnoteReference w:id="3"/>
            </w:r>
            <w:r w:rsidRPr="00A03B1E">
              <w:rPr>
                <w:color w:val="000000" w:themeColor="text1"/>
                <w:sz w:val="26"/>
                <w:szCs w:val="26"/>
                <w:vertAlign w:val="superscript"/>
              </w:rPr>
              <w:t>)</w:t>
            </w:r>
          </w:p>
        </w:tc>
        <w:tc>
          <w:tcPr>
            <w:tcW w:w="350"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4,5</w:t>
            </w:r>
          </w:p>
        </w:tc>
        <w:tc>
          <w:tcPr>
            <w:tcW w:w="213"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FootnoteReference"/>
                <w:color w:val="000000" w:themeColor="text1"/>
                <w:sz w:val="26"/>
                <w:szCs w:val="26"/>
              </w:rPr>
              <w:footnoteReference w:id="4"/>
            </w:r>
            <w:r w:rsidRPr="00A03B1E">
              <w:rPr>
                <w:color w:val="000000" w:themeColor="text1"/>
                <w:sz w:val="26"/>
                <w:szCs w:val="26"/>
                <w:vertAlign w:val="superscript"/>
              </w:rPr>
              <w:t>)</w:t>
            </w:r>
          </w:p>
        </w:tc>
        <w:tc>
          <w:tcPr>
            <w:tcW w:w="343"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6</w:t>
            </w: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191" w:type="pct"/>
            <w:vMerge w:val="restart"/>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08" w:type="pct"/>
            <w:vMerge w:val="restart"/>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23,5</w:t>
            </w:r>
          </w:p>
        </w:tc>
        <w:tc>
          <w:tcPr>
            <w:tcW w:w="259" w:type="pct"/>
            <w:vMerge w:val="restart"/>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52,5</w:t>
            </w:r>
          </w:p>
        </w:tc>
      </w:tr>
      <w:tr w:rsidR="00A03B1E" w:rsidRPr="00A03B1E" w:rsidTr="002B2CFC">
        <w:trPr>
          <w:trHeight w:val="275"/>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pacing w:val="-4"/>
                <w:sz w:val="26"/>
                <w:szCs w:val="26"/>
              </w:rPr>
            </w:pPr>
            <w:r w:rsidRPr="00A03B1E">
              <w:rPr>
                <w:bCs/>
                <w:color w:val="000000" w:themeColor="text1"/>
                <w:spacing w:val="-4"/>
                <w:sz w:val="26"/>
                <w:szCs w:val="26"/>
              </w:rPr>
              <w:t>3.2. Hiện tượng quang điện trong và Hiện tượng quang - phát quang</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313"/>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3.3. Mẫu nguyên tử Bo</w:t>
            </w:r>
          </w:p>
        </w:tc>
        <w:tc>
          <w:tcPr>
            <w:tcW w:w="220"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262"/>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3.4. Sơ lược về laze</w:t>
            </w:r>
          </w:p>
        </w:tc>
        <w:tc>
          <w:tcPr>
            <w:tcW w:w="22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05"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98"/>
        </w:trPr>
        <w:tc>
          <w:tcPr>
            <w:tcW w:w="190" w:type="pct"/>
            <w:vMerge w:val="restart"/>
            <w:vAlign w:val="center"/>
          </w:tcPr>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4</w:t>
            </w:r>
          </w:p>
        </w:tc>
        <w:tc>
          <w:tcPr>
            <w:tcW w:w="569" w:type="pct"/>
            <w:vMerge w:val="restart"/>
            <w:vAlign w:val="center"/>
          </w:tcPr>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Hạt nhân nguyên tử</w:t>
            </w: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4.1. Tính chất và cấu tạo hạt nhân</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205"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3</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125"/>
        </w:trPr>
        <w:tc>
          <w:tcPr>
            <w:tcW w:w="190"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4.2. Năng lựng liên kết của hạt nhân. Phản ứng hạt nhân</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308"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3</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70"/>
        </w:trPr>
        <w:tc>
          <w:tcPr>
            <w:tcW w:w="190"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4.3. Phóng xạ</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60"/>
        </w:trPr>
        <w:tc>
          <w:tcPr>
            <w:tcW w:w="190"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4.4. Phản ứng phân hạch và Phản ứng nhiệt hạch</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308"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70"/>
        </w:trPr>
        <w:tc>
          <w:tcPr>
            <w:tcW w:w="1888" w:type="pct"/>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220"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16</w:t>
            </w:r>
          </w:p>
        </w:tc>
        <w:tc>
          <w:tcPr>
            <w:tcW w:w="308"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12</w:t>
            </w:r>
          </w:p>
        </w:tc>
        <w:tc>
          <w:tcPr>
            <w:tcW w:w="205"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12</w:t>
            </w:r>
          </w:p>
        </w:tc>
        <w:tc>
          <w:tcPr>
            <w:tcW w:w="308"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12</w:t>
            </w:r>
          </w:p>
        </w:tc>
        <w:tc>
          <w:tcPr>
            <w:tcW w:w="213"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2</w:t>
            </w:r>
          </w:p>
        </w:tc>
        <w:tc>
          <w:tcPr>
            <w:tcW w:w="350"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9</w:t>
            </w:r>
          </w:p>
        </w:tc>
        <w:tc>
          <w:tcPr>
            <w:tcW w:w="213"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w:t>
            </w:r>
          </w:p>
        </w:tc>
        <w:tc>
          <w:tcPr>
            <w:tcW w:w="343"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12</w:t>
            </w:r>
          </w:p>
        </w:tc>
        <w:tc>
          <w:tcPr>
            <w:tcW w:w="195"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28</w:t>
            </w:r>
          </w:p>
        </w:tc>
        <w:tc>
          <w:tcPr>
            <w:tcW w:w="191"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4</w:t>
            </w:r>
          </w:p>
        </w:tc>
        <w:tc>
          <w:tcPr>
            <w:tcW w:w="308"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45</w:t>
            </w:r>
          </w:p>
        </w:tc>
        <w:tc>
          <w:tcPr>
            <w:tcW w:w="259"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100</w:t>
            </w:r>
          </w:p>
        </w:tc>
      </w:tr>
      <w:tr w:rsidR="00A03B1E" w:rsidRPr="00A03B1E" w:rsidTr="002B2CFC">
        <w:trPr>
          <w:trHeight w:val="70"/>
        </w:trPr>
        <w:tc>
          <w:tcPr>
            <w:tcW w:w="1888" w:type="pct"/>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w:t>
            </w:r>
          </w:p>
        </w:tc>
        <w:tc>
          <w:tcPr>
            <w:tcW w:w="527" w:type="pct"/>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40</w:t>
            </w:r>
          </w:p>
        </w:tc>
        <w:tc>
          <w:tcPr>
            <w:tcW w:w="513" w:type="pct"/>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30</w:t>
            </w:r>
          </w:p>
        </w:tc>
        <w:tc>
          <w:tcPr>
            <w:tcW w:w="563" w:type="pct"/>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20</w:t>
            </w:r>
          </w:p>
        </w:tc>
        <w:tc>
          <w:tcPr>
            <w:tcW w:w="556" w:type="pct"/>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10</w:t>
            </w:r>
          </w:p>
        </w:tc>
        <w:tc>
          <w:tcPr>
            <w:tcW w:w="195"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c>
          <w:tcPr>
            <w:tcW w:w="191"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c>
          <w:tcPr>
            <w:tcW w:w="308"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c>
          <w:tcPr>
            <w:tcW w:w="259"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r>
      <w:tr w:rsidR="00A03B1E" w:rsidRPr="00A03B1E" w:rsidTr="002B2CFC">
        <w:trPr>
          <w:trHeight w:val="70"/>
        </w:trPr>
        <w:tc>
          <w:tcPr>
            <w:tcW w:w="1888" w:type="pct"/>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chung (%)</w:t>
            </w:r>
          </w:p>
        </w:tc>
        <w:tc>
          <w:tcPr>
            <w:tcW w:w="1040" w:type="pct"/>
            <w:gridSpan w:val="4"/>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70</w:t>
            </w:r>
          </w:p>
        </w:tc>
        <w:tc>
          <w:tcPr>
            <w:tcW w:w="1119" w:type="pct"/>
            <w:gridSpan w:val="4"/>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30</w:t>
            </w:r>
          </w:p>
        </w:tc>
        <w:tc>
          <w:tcPr>
            <w:tcW w:w="195"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c>
          <w:tcPr>
            <w:tcW w:w="191"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c>
          <w:tcPr>
            <w:tcW w:w="308"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c>
          <w:tcPr>
            <w:tcW w:w="259"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r>
    </w:tbl>
    <w:p w:rsidR="00D124C4" w:rsidRPr="00A03B1E" w:rsidRDefault="00D124C4" w:rsidP="00100830">
      <w:pPr>
        <w:widowControl w:val="0"/>
        <w:spacing w:before="20" w:after="80" w:line="240" w:lineRule="auto"/>
        <w:rPr>
          <w:b/>
          <w:bCs/>
          <w:color w:val="000000" w:themeColor="text1"/>
          <w:sz w:val="26"/>
          <w:szCs w:val="26"/>
        </w:rPr>
      </w:pPr>
      <w:r w:rsidRPr="00A03B1E">
        <w:rPr>
          <w:b/>
          <w:bCs/>
          <w:color w:val="000000" w:themeColor="text1"/>
          <w:sz w:val="26"/>
          <w:szCs w:val="26"/>
        </w:rPr>
        <w:t xml:space="preserve">Lưu ý: </w:t>
      </w:r>
    </w:p>
    <w:p w:rsidR="00D124C4" w:rsidRPr="00A03B1E" w:rsidRDefault="00D124C4"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D124C4" w:rsidRPr="00A03B1E" w:rsidRDefault="00D124C4"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8D718D" w:rsidRPr="00A03B1E" w:rsidRDefault="008D718D" w:rsidP="00100830">
      <w:pPr>
        <w:widowControl w:val="0"/>
        <w:spacing w:before="20" w:after="80" w:line="240" w:lineRule="auto"/>
        <w:rPr>
          <w:color w:val="000000" w:themeColor="text1"/>
          <w:sz w:val="26"/>
          <w:szCs w:val="26"/>
        </w:rPr>
        <w:sectPr w:rsidR="008D718D" w:rsidRPr="00A03B1E" w:rsidSect="006D6F7A">
          <w:footerReference w:type="default" r:id="rId9"/>
          <w:pgSz w:w="16840" w:h="11907" w:orient="landscape" w:code="9"/>
          <w:pgMar w:top="1701" w:right="1134" w:bottom="1134" w:left="1134" w:header="720" w:footer="720" w:gutter="0"/>
          <w:cols w:space="720"/>
          <w:docGrid w:linePitch="360"/>
        </w:sectPr>
      </w:pPr>
    </w:p>
    <w:p w:rsidR="00607B66" w:rsidRPr="00A03B1E" w:rsidRDefault="00607B66" w:rsidP="00100830">
      <w:pPr>
        <w:widowControl w:val="0"/>
        <w:spacing w:before="20" w:after="80" w:line="240" w:lineRule="auto"/>
        <w:rPr>
          <w:color w:val="000000" w:themeColor="text1"/>
          <w:sz w:val="26"/>
          <w:szCs w:val="26"/>
        </w:rPr>
      </w:pPr>
      <w:bookmarkStart w:id="0" w:name="_GoBack"/>
      <w:bookmarkEnd w:id="0"/>
    </w:p>
    <w:sectPr w:rsidR="00607B66" w:rsidRPr="00A03B1E" w:rsidSect="005908DC">
      <w:pgSz w:w="16840" w:h="11907" w:orient="landscape" w:code="9"/>
      <w:pgMar w:top="1134" w:right="1134" w:bottom="170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5F8" w:rsidRDefault="00D535F8" w:rsidP="00C608FB">
      <w:pPr>
        <w:spacing w:after="0" w:line="240" w:lineRule="auto"/>
      </w:pPr>
      <w:r>
        <w:separator/>
      </w:r>
    </w:p>
  </w:endnote>
  <w:endnote w:type="continuationSeparator" w:id="0">
    <w:p w:rsidR="00D535F8" w:rsidRDefault="00D535F8" w:rsidP="00C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903580"/>
      <w:docPartObj>
        <w:docPartGallery w:val="Page Numbers (Bottom of Page)"/>
        <w:docPartUnique/>
      </w:docPartObj>
    </w:sdtPr>
    <w:sdtEndPr>
      <w:rPr>
        <w:noProof/>
      </w:rPr>
    </w:sdtEndPr>
    <w:sdtContent>
      <w:p w:rsidR="00FE1EEF" w:rsidRDefault="00FE1EEF">
        <w:pPr>
          <w:pStyle w:val="Footer"/>
          <w:jc w:val="right"/>
        </w:pPr>
        <w:r>
          <w:fldChar w:fldCharType="begin"/>
        </w:r>
        <w:r>
          <w:instrText xml:space="preserve"> PAGE   \* MERGEFORMAT </w:instrText>
        </w:r>
        <w:r>
          <w:fldChar w:fldCharType="separate"/>
        </w:r>
        <w:r w:rsidR="006C4B92">
          <w:rPr>
            <w:noProof/>
          </w:rPr>
          <w:t>1</w:t>
        </w:r>
        <w:r>
          <w:rPr>
            <w:noProof/>
          </w:rPr>
          <w:fldChar w:fldCharType="end"/>
        </w:r>
      </w:p>
    </w:sdtContent>
  </w:sdt>
  <w:p w:rsidR="00FE1EEF" w:rsidRDefault="00FE1E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5F8" w:rsidRDefault="00D535F8" w:rsidP="00C608FB">
      <w:pPr>
        <w:spacing w:after="0" w:line="240" w:lineRule="auto"/>
      </w:pPr>
      <w:r>
        <w:separator/>
      </w:r>
    </w:p>
  </w:footnote>
  <w:footnote w:type="continuationSeparator" w:id="0">
    <w:p w:rsidR="00D535F8" w:rsidRDefault="00D535F8" w:rsidP="00C608FB">
      <w:pPr>
        <w:spacing w:after="0" w:line="240" w:lineRule="auto"/>
      </w:pPr>
      <w:r>
        <w:continuationSeparator/>
      </w:r>
    </w:p>
  </w:footnote>
  <w:footnote w:id="1">
    <w:p w:rsidR="00FE1EEF" w:rsidRPr="001C39B2" w:rsidRDefault="00FE1EEF" w:rsidP="00D124C4">
      <w:pPr>
        <w:pStyle w:val="EndnoteText"/>
      </w:pPr>
      <w:r w:rsidRPr="001C39B2">
        <w:t>(</w:t>
      </w:r>
      <w:r w:rsidRPr="001C39B2">
        <w:rPr>
          <w:rStyle w:val="FootnoteReference"/>
        </w:rPr>
        <w:footnoteRef/>
      </w:r>
      <w:r w:rsidRPr="001C39B2">
        <w:t xml:space="preserve">) </w:t>
      </w:r>
      <w:r>
        <w:t>Giáo viên ra 01 câu vận dụng  ở đơn vị kiến thức: 1.1 hoặc 2.2 hoặc 2.3.</w:t>
      </w:r>
    </w:p>
  </w:footnote>
  <w:footnote w:id="2">
    <w:p w:rsidR="00FE1EEF" w:rsidRPr="001C39B2" w:rsidRDefault="00FE1EEF" w:rsidP="00D124C4">
      <w:pPr>
        <w:pStyle w:val="EndnoteText"/>
      </w:pPr>
      <w:r w:rsidRPr="001C39B2">
        <w:t>(</w:t>
      </w:r>
      <w:r w:rsidRPr="001C39B2">
        <w:rPr>
          <w:rStyle w:val="FootnoteReference"/>
        </w:rPr>
        <w:footnoteRef/>
      </w:r>
      <w:r w:rsidRPr="001C39B2">
        <w:t>)</w:t>
      </w:r>
      <w:r>
        <w:t xml:space="preserve"> Giáo viên ra 01 câu vận dụng cao ở đơn vị kiến thức:1.1 hoặc 2.2 hoặc 2.3. Hai câu 1</w:t>
      </w:r>
      <w:r>
        <w:rPr>
          <w:vertAlign w:val="superscript"/>
        </w:rPr>
        <w:t>(i)</w:t>
      </w:r>
      <w:r>
        <w:t xml:space="preserve"> và  1</w:t>
      </w:r>
      <w:r>
        <w:rPr>
          <w:vertAlign w:val="superscript"/>
        </w:rPr>
        <w:t>(ii)</w:t>
      </w:r>
      <w:r>
        <w:t xml:space="preserve">  không hỏi cùng một nội dung kiến thức. </w:t>
      </w:r>
    </w:p>
  </w:footnote>
  <w:footnote w:id="3">
    <w:p w:rsidR="00FE1EEF" w:rsidRPr="001C39B2" w:rsidRDefault="00FE1EEF" w:rsidP="00D124C4">
      <w:pPr>
        <w:pStyle w:val="FootnoteText"/>
      </w:pPr>
      <w:r w:rsidRPr="001C39B2">
        <w:t>(</w:t>
      </w:r>
      <w:r w:rsidRPr="001C39B2">
        <w:rPr>
          <w:rStyle w:val="FootnoteReference"/>
        </w:rPr>
        <w:footnoteRef/>
      </w:r>
      <w:r w:rsidRPr="001C39B2">
        <w:t xml:space="preserve">) </w:t>
      </w:r>
      <w:r>
        <w:t>Giáo viên ra 01 câu vận dụng  ở đơn vị kiến thức:  3.1 hoặc 4.3.</w:t>
      </w:r>
    </w:p>
  </w:footnote>
  <w:footnote w:id="4">
    <w:p w:rsidR="00FE1EEF" w:rsidRDefault="00FE1EEF" w:rsidP="00D124C4">
      <w:pPr>
        <w:pStyle w:val="EndnoteText"/>
      </w:pPr>
      <w:r w:rsidRPr="001C39B2">
        <w:t>(</w:t>
      </w:r>
      <w:r w:rsidRPr="001C39B2">
        <w:rPr>
          <w:rStyle w:val="FootnoteReference"/>
        </w:rPr>
        <w:footnoteRef/>
      </w:r>
      <w:r w:rsidRPr="001C39B2">
        <w:t xml:space="preserve">) </w:t>
      </w:r>
      <w:r>
        <w:t>Giáo viên ra 01 câu vận dụng cao ở đơn vị kiến thức: 3.1 hoặc 4.3. Hai câu 1</w:t>
      </w:r>
      <w:r>
        <w:rPr>
          <w:vertAlign w:val="superscript"/>
        </w:rPr>
        <w:t>(iii)</w:t>
      </w:r>
      <w:r>
        <w:t xml:space="preserve"> và  1</w:t>
      </w:r>
      <w:r>
        <w:rPr>
          <w:vertAlign w:val="superscript"/>
        </w:rPr>
        <w:t>(iv)</w:t>
      </w:r>
      <w:r>
        <w:t xml:space="preserve">  không hỏi cùng một nội dung kiến thức. </w:t>
      </w:r>
    </w:p>
    <w:p w:rsidR="00FE1EEF" w:rsidRDefault="00FE1EEF" w:rsidP="00D124C4">
      <w:pPr>
        <w:pStyle w:val="EndnoteText"/>
      </w:pPr>
    </w:p>
    <w:p w:rsidR="00FE1EEF" w:rsidRDefault="00FE1EEF" w:rsidP="00D124C4">
      <w:pPr>
        <w:pStyle w:val="EndnoteText"/>
      </w:pPr>
    </w:p>
    <w:p w:rsidR="00FE1EEF" w:rsidRDefault="00FE1EEF" w:rsidP="00D124C4">
      <w:pPr>
        <w:pStyle w:val="EndnoteText"/>
      </w:pPr>
    </w:p>
    <w:p w:rsidR="00FE1EEF" w:rsidRPr="001C39B2" w:rsidRDefault="00FE1EEF" w:rsidP="00D124C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66"/>
    <w:rsid w:val="000023F5"/>
    <w:rsid w:val="00015DFD"/>
    <w:rsid w:val="00053519"/>
    <w:rsid w:val="00063290"/>
    <w:rsid w:val="000908BB"/>
    <w:rsid w:val="000B2DCA"/>
    <w:rsid w:val="000D2D61"/>
    <w:rsid w:val="000E7554"/>
    <w:rsid w:val="000F484F"/>
    <w:rsid w:val="00100830"/>
    <w:rsid w:val="00122476"/>
    <w:rsid w:val="00125A9B"/>
    <w:rsid w:val="001565E7"/>
    <w:rsid w:val="00157A7F"/>
    <w:rsid w:val="00170D94"/>
    <w:rsid w:val="001A756F"/>
    <w:rsid w:val="002228F8"/>
    <w:rsid w:val="00282E75"/>
    <w:rsid w:val="00287331"/>
    <w:rsid w:val="002925EC"/>
    <w:rsid w:val="00292D88"/>
    <w:rsid w:val="0029580B"/>
    <w:rsid w:val="002A488D"/>
    <w:rsid w:val="002A4B4C"/>
    <w:rsid w:val="002B2CFC"/>
    <w:rsid w:val="002E2879"/>
    <w:rsid w:val="002E6443"/>
    <w:rsid w:val="002F27CC"/>
    <w:rsid w:val="0031654B"/>
    <w:rsid w:val="00367E78"/>
    <w:rsid w:val="003824C7"/>
    <w:rsid w:val="003C0D51"/>
    <w:rsid w:val="003F192C"/>
    <w:rsid w:val="00412392"/>
    <w:rsid w:val="004171CA"/>
    <w:rsid w:val="00433119"/>
    <w:rsid w:val="004335F9"/>
    <w:rsid w:val="00444E89"/>
    <w:rsid w:val="004B5F1B"/>
    <w:rsid w:val="004C1FEF"/>
    <w:rsid w:val="004C5120"/>
    <w:rsid w:val="004F7F0B"/>
    <w:rsid w:val="00527A5F"/>
    <w:rsid w:val="005321B4"/>
    <w:rsid w:val="00535824"/>
    <w:rsid w:val="005509B0"/>
    <w:rsid w:val="0055298D"/>
    <w:rsid w:val="005908DC"/>
    <w:rsid w:val="00607B66"/>
    <w:rsid w:val="00615514"/>
    <w:rsid w:val="00662B42"/>
    <w:rsid w:val="00681A5A"/>
    <w:rsid w:val="006B1C3F"/>
    <w:rsid w:val="006C4B92"/>
    <w:rsid w:val="006D6F7A"/>
    <w:rsid w:val="006E0466"/>
    <w:rsid w:val="006E2A08"/>
    <w:rsid w:val="007021CF"/>
    <w:rsid w:val="0070548F"/>
    <w:rsid w:val="00717C04"/>
    <w:rsid w:val="00763AFE"/>
    <w:rsid w:val="007764D4"/>
    <w:rsid w:val="00793EE9"/>
    <w:rsid w:val="007A2404"/>
    <w:rsid w:val="007B0B64"/>
    <w:rsid w:val="007B758E"/>
    <w:rsid w:val="007C6AD7"/>
    <w:rsid w:val="007F4799"/>
    <w:rsid w:val="0081249A"/>
    <w:rsid w:val="008413CA"/>
    <w:rsid w:val="00870063"/>
    <w:rsid w:val="00870210"/>
    <w:rsid w:val="008C215A"/>
    <w:rsid w:val="008D718D"/>
    <w:rsid w:val="00905B21"/>
    <w:rsid w:val="009355EC"/>
    <w:rsid w:val="009361DF"/>
    <w:rsid w:val="009375BD"/>
    <w:rsid w:val="009468B4"/>
    <w:rsid w:val="00946909"/>
    <w:rsid w:val="009D16E6"/>
    <w:rsid w:val="00A016C2"/>
    <w:rsid w:val="00A03B1E"/>
    <w:rsid w:val="00A13163"/>
    <w:rsid w:val="00A205C0"/>
    <w:rsid w:val="00A33FB7"/>
    <w:rsid w:val="00A67A16"/>
    <w:rsid w:val="00AB5441"/>
    <w:rsid w:val="00AC4D13"/>
    <w:rsid w:val="00B014B3"/>
    <w:rsid w:val="00B14174"/>
    <w:rsid w:val="00B76A46"/>
    <w:rsid w:val="00BA6A00"/>
    <w:rsid w:val="00BB29BB"/>
    <w:rsid w:val="00BC24C4"/>
    <w:rsid w:val="00C033B1"/>
    <w:rsid w:val="00C067EB"/>
    <w:rsid w:val="00C17299"/>
    <w:rsid w:val="00C24CF2"/>
    <w:rsid w:val="00C37734"/>
    <w:rsid w:val="00C37C9E"/>
    <w:rsid w:val="00C50577"/>
    <w:rsid w:val="00C5533F"/>
    <w:rsid w:val="00C608FB"/>
    <w:rsid w:val="00C67251"/>
    <w:rsid w:val="00C87672"/>
    <w:rsid w:val="00CA1A96"/>
    <w:rsid w:val="00CB1456"/>
    <w:rsid w:val="00CD53C6"/>
    <w:rsid w:val="00D124C4"/>
    <w:rsid w:val="00D15553"/>
    <w:rsid w:val="00D16070"/>
    <w:rsid w:val="00D535F8"/>
    <w:rsid w:val="00D564E3"/>
    <w:rsid w:val="00D65A37"/>
    <w:rsid w:val="00D90149"/>
    <w:rsid w:val="00DA30DD"/>
    <w:rsid w:val="00DB2686"/>
    <w:rsid w:val="00DB6848"/>
    <w:rsid w:val="00E47F47"/>
    <w:rsid w:val="00E53F92"/>
    <w:rsid w:val="00E77DAC"/>
    <w:rsid w:val="00E93E65"/>
    <w:rsid w:val="00EB4C00"/>
    <w:rsid w:val="00EB6933"/>
    <w:rsid w:val="00EC4647"/>
    <w:rsid w:val="00ED24EE"/>
    <w:rsid w:val="00F00485"/>
    <w:rsid w:val="00F14066"/>
    <w:rsid w:val="00F23D42"/>
    <w:rsid w:val="00F26C94"/>
    <w:rsid w:val="00F32807"/>
    <w:rsid w:val="00F82FE1"/>
    <w:rsid w:val="00F96AB4"/>
    <w:rsid w:val="00FB20DC"/>
    <w:rsid w:val="00FC521D"/>
    <w:rsid w:val="00FC73E6"/>
    <w:rsid w:val="00FE1E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F373D-6983-48A1-A800-E52D29AA2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Administrator</cp:lastModifiedBy>
  <cp:revision>3</cp:revision>
  <cp:lastPrinted>2020-10-16T01:01:00Z</cp:lastPrinted>
  <dcterms:created xsi:type="dcterms:W3CDTF">2021-05-22T10:44:00Z</dcterms:created>
  <dcterms:modified xsi:type="dcterms:W3CDTF">2021-05-22T10:44:00Z</dcterms:modified>
</cp:coreProperties>
</file>