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8" w:rsidRPr="00556338" w:rsidRDefault="00556338" w:rsidP="00556338">
      <w:pPr>
        <w:spacing w:line="288" w:lineRule="auto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 w:rsidRPr="00556338">
        <w:rPr>
          <w:szCs w:val="28"/>
        </w:rPr>
        <w:t xml:space="preserve"> </w:t>
      </w:r>
      <w:r w:rsidRPr="00556338">
        <w:rPr>
          <w:rFonts w:eastAsia="Times New Roman"/>
          <w:b/>
          <w:bCs/>
          <w:szCs w:val="28"/>
          <w:u w:val="single"/>
          <w:lang w:val="nl-NL"/>
        </w:rPr>
        <w:t>TUẦN 33</w:t>
      </w:r>
      <w:r w:rsidRPr="00556338">
        <w:rPr>
          <w:rFonts w:eastAsia="Times New Roman"/>
          <w:b/>
          <w:bCs/>
          <w:szCs w:val="28"/>
          <w:lang w:val="nl-NL"/>
        </w:rPr>
        <w:t>:                   CHỦ ĐỀ 2: THỦ CÔNG KĨ THUẬT</w:t>
      </w:r>
    </w:p>
    <w:p w:rsidR="00556338" w:rsidRPr="00556338" w:rsidRDefault="00556338" w:rsidP="0055633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556338">
        <w:rPr>
          <w:rFonts w:eastAsia="Times New Roman"/>
          <w:b/>
          <w:bCs/>
          <w:szCs w:val="28"/>
          <w:u w:val="single"/>
          <w:lang w:val="nl-NL"/>
        </w:rPr>
        <w:t>Bài 13</w:t>
      </w:r>
      <w:r w:rsidRPr="00556338">
        <w:rPr>
          <w:rFonts w:eastAsia="Times New Roman"/>
          <w:b/>
          <w:bCs/>
          <w:szCs w:val="28"/>
          <w:lang w:val="nl-NL"/>
        </w:rPr>
        <w:t>: LÀM ĐÈN LỒNG (T3)</w:t>
      </w:r>
    </w:p>
    <w:p w:rsidR="00556338" w:rsidRDefault="00556338" w:rsidP="0055633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556338" w:rsidRDefault="00556338" w:rsidP="00556338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3B03EC" w:rsidRDefault="00556338" w:rsidP="003B03E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1. Năng lực đặc thù.</w:t>
      </w:r>
    </w:p>
    <w:p w:rsidR="003B03EC" w:rsidRDefault="003B03EC" w:rsidP="003B03EC">
      <w:pPr>
        <w:spacing w:line="288" w:lineRule="auto"/>
        <w:ind w:firstLine="360"/>
        <w:jc w:val="both"/>
      </w:pPr>
      <w:r>
        <w:t>- Tính toán chi phí cho một đèn lồng đồ chơi tự làm.</w:t>
      </w:r>
    </w:p>
    <w:p w:rsidR="00556338" w:rsidRDefault="003B03EC" w:rsidP="003B03E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556338">
        <w:rPr>
          <w:szCs w:val="28"/>
        </w:rPr>
        <w:t>Giới thiệu được sản phẩm do mình làm và nhận xét được sản phẩm theo các tiêu chí đánh giá.</w:t>
      </w:r>
    </w:p>
    <w:p w:rsidR="00DE77C2" w:rsidRPr="003B03EC" w:rsidRDefault="00DE77C2" w:rsidP="00DE77C2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Vận dụng kiến thức đã học vào thực tiễn qua việc sử dụng an toàn đèn lồng đồ chơi do mình làm ra.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 chung.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Tự lực làm được đồ chơi theo sự phân công, hướng dẫn và đúng thời gian quy định.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Năng lực giải quyết vấn đề và sáng tạo: Hình thành được ý tưởng trang trí đèn lồng đồ chơi theo ý muốn hoặc tận dụng vật liệu tái chế để làm ra sản phẩm.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Năng lực giao tiếp và hợp tác: Biết trao đổi, góp ý cùng bạn trong hoạt động nhóm.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3. Phẩm chất.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chăm chỉ: Có ý thức thực hành nghiêm túc, luôn cố gắng đạt kết quả tốt.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trách nhiệm: Có ý thức giữ gìn dụng cụ làm thủ công và ý thức tiết kiệm vật liệu làm đồ dùng học tập.</w:t>
      </w:r>
    </w:p>
    <w:p w:rsidR="00DA5F01" w:rsidRDefault="00DA5F01" w:rsidP="00E10B43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E10B43">
        <w:rPr>
          <w:rFonts w:eastAsia="Times New Roman"/>
          <w:szCs w:val="28"/>
        </w:rPr>
        <w:t>P</w:t>
      </w:r>
      <w:r w:rsidRPr="00940F10">
        <w:rPr>
          <w:rFonts w:eastAsia="Times New Roman"/>
          <w:szCs w:val="28"/>
        </w:rPr>
        <w:t>hẩm chất nhân ái: Đoàn kết giúp đỡ bạn trong hoạt động nhóm.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II. ĐỒ DÙNG DẠY HỌC 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Kế hoạch bài dạy, bài giảng Power point.</w:t>
      </w:r>
    </w:p>
    <w:p w:rsidR="00556338" w:rsidRDefault="00556338" w:rsidP="0055633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SGK và các thiết bị, học liệu phục vụ cho tiết dạy.</w:t>
      </w:r>
    </w:p>
    <w:p w:rsidR="00556338" w:rsidRDefault="00556338" w:rsidP="0055633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szCs w:val="28"/>
        </w:rPr>
        <w:t>III.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280"/>
        <w:gridCol w:w="249"/>
        <w:gridCol w:w="4059"/>
      </w:tblGrid>
      <w:tr w:rsidR="00556338" w:rsidTr="002E43D6">
        <w:trPr>
          <w:trHeight w:val="2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556338" w:rsidTr="002E43D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Tạo không khí vui vẻ, phấn khởi trước giờ học.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556338" w:rsidTr="002E43D6">
        <w:trPr>
          <w:trHeight w:val="20"/>
        </w:trPr>
        <w:tc>
          <w:tcPr>
            <w:tcW w:w="2815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tổ chức trò chơi “Tôi cần, tôi cần”</w:t>
            </w:r>
          </w:p>
          <w:p w:rsidR="00556338" w:rsidRPr="00D32503" w:rsidRDefault="00556338" w:rsidP="002E43D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B85573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+ GV yêu cầu HS</w:t>
            </w:r>
            <w:r w:rsidR="00B85573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nêu</w:t>
            </w:r>
            <w:r w:rsidR="00B85573" w:rsidRPr="00B85573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các dụng cụ, vật liệu làm đèn lồng đồ chơi.</w:t>
            </w:r>
          </w:p>
          <w:p w:rsidR="00556338" w:rsidRPr="00B85573" w:rsidRDefault="00556338" w:rsidP="002E43D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B85573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+ GV có thể đặt thêm câu hỏi: </w:t>
            </w:r>
            <w:r w:rsidR="00B85573" w:rsidRPr="00B85573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Hãy nêu tác dụng của các dụng cụ, vật liệu đó? Cần số lượng thế nào?</w:t>
            </w:r>
          </w:p>
          <w:p w:rsidR="00556338" w:rsidRPr="00B64A87" w:rsidRDefault="00556338" w:rsidP="00B8557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B85573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GV nhận xét,</w:t>
            </w:r>
            <w:r w:rsidR="00B85573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tuyên dương và dẫn dắt vào bài.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5573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B85573">
              <w:rPr>
                <w:rFonts w:eastAsia="Times New Roman"/>
                <w:szCs w:val="28"/>
                <w:lang w:val="nl-NL"/>
              </w:rPr>
              <w:t>HS tham gia chơi</w:t>
            </w:r>
          </w:p>
          <w:p w:rsidR="00B85573" w:rsidRDefault="00B85573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nêu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56338" w:rsidRDefault="00556338" w:rsidP="00B8557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B85573">
              <w:rPr>
                <w:rFonts w:eastAsia="Times New Roman"/>
                <w:szCs w:val="28"/>
                <w:lang w:val="nl-NL"/>
              </w:rPr>
              <w:t>trả lời</w:t>
            </w:r>
          </w:p>
        </w:tc>
      </w:tr>
      <w:tr w:rsidR="00556338" w:rsidTr="002E43D6">
        <w:trPr>
          <w:trHeight w:val="2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Hoạt động luyện tập.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257B8E">
              <w:rPr>
                <w:rFonts w:eastAsia="Times New Roman"/>
                <w:bCs/>
                <w:iCs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Mục tiêu: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556338" w:rsidRDefault="00556338" w:rsidP="002E43D6">
            <w:pPr>
              <w:spacing w:line="288" w:lineRule="auto"/>
              <w:jc w:val="both"/>
            </w:pPr>
            <w:r>
              <w:t xml:space="preserve">+ Tính toán được chi phí cho một đèn lồng đồ chơi tự làm. </w:t>
            </w:r>
          </w:p>
          <w:p w:rsidR="00556338" w:rsidRDefault="00556338" w:rsidP="002E43D6">
            <w:pPr>
              <w:spacing w:line="288" w:lineRule="auto"/>
              <w:jc w:val="both"/>
            </w:pPr>
            <w:r>
              <w:t xml:space="preserve">+ Giới thiệu được sản phẩm đèn lồng đồ chơi của mình làm và </w:t>
            </w:r>
            <w:r w:rsidR="00B6606D">
              <w:t>nhận xét</w:t>
            </w:r>
            <w:r>
              <w:t xml:space="preserve"> được sản phẩm theo các tiêu chí đánh giá.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257B8E">
              <w:rPr>
                <w:rFonts w:eastAsia="Times New Roman"/>
                <w:bCs/>
                <w:iCs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556338" w:rsidTr="002E43D6">
        <w:trPr>
          <w:trHeight w:val="20"/>
        </w:trPr>
        <w:tc>
          <w:tcPr>
            <w:tcW w:w="2681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Hoạt động 1: Tính phi làm đồ chơi (Làm việc nhóm 4)     </w:t>
            </w:r>
          </w:p>
          <w:p w:rsidR="00E47296" w:rsidRPr="00761BBF" w:rsidRDefault="00E47296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265BE">
              <w:rPr>
                <w:rStyle w:val="Strong"/>
                <w:b w:val="0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yêu cầu HS đọc yêu cầu bài.</w:t>
            </w:r>
          </w:p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6265BE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</w:rPr>
              <w:t xml:space="preserve"> GV tổ chức cho các nhóm thảo luận và thống nhất cách tính chi phí đèn lồng đồ chơi tự làm dựa vào </w:t>
            </w:r>
            <w:r w:rsidR="008D6C18">
              <w:rPr>
                <w:rStyle w:val="Strong"/>
                <w:b w:val="0"/>
                <w:sz w:val="28"/>
                <w:szCs w:val="28"/>
              </w:rPr>
              <w:t>bảng sau</w:t>
            </w:r>
            <w:r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B6606D" w:rsidRDefault="008D6C1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990850" cy="13971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7f4bb8a93fd43a31ae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771" cy="140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chia sẻ cách tính chi phí của nhóm mình.</w:t>
            </w:r>
          </w:p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các nhóm có chi phí làm đồ chơi thấp nhất, biết tiết kiệm vật liệu nhất.</w:t>
            </w:r>
          </w:p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BE5FB6">
              <w:rPr>
                <w:b/>
                <w:sz w:val="28"/>
                <w:szCs w:val="28"/>
              </w:rPr>
              <w:t>Hoạt độ</w:t>
            </w:r>
            <w:r>
              <w:rPr>
                <w:b/>
                <w:sz w:val="28"/>
                <w:szCs w:val="28"/>
              </w:rPr>
              <w:t>ng 2: Báo</w:t>
            </w:r>
            <w:r w:rsidRPr="00BE5FB6">
              <w:rPr>
                <w:b/>
                <w:sz w:val="28"/>
                <w:szCs w:val="28"/>
              </w:rPr>
              <w:t xml:space="preserve"> cáo và đánh giá sản phẩm đ</w:t>
            </w:r>
            <w:r w:rsidR="008D6C18">
              <w:rPr>
                <w:b/>
                <w:sz w:val="28"/>
                <w:szCs w:val="28"/>
              </w:rPr>
              <w:t>èn</w:t>
            </w:r>
            <w:r w:rsidRPr="00BE5FB6">
              <w:rPr>
                <w:b/>
                <w:sz w:val="28"/>
                <w:szCs w:val="28"/>
              </w:rPr>
              <w:t xml:space="preserve"> lồng đồ chơi.</w:t>
            </w:r>
          </w:p>
          <w:p w:rsidR="00E47296" w:rsidRPr="00E47296" w:rsidRDefault="00E47296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265BE">
              <w:rPr>
                <w:rStyle w:val="Strong"/>
                <w:b w:val="0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yêu cầu HS đọc yêu cầu bài.</w:t>
            </w:r>
          </w:p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HS trưng bày</w:t>
            </w:r>
            <w:r w:rsidR="008D6C18">
              <w:rPr>
                <w:sz w:val="28"/>
                <w:szCs w:val="28"/>
              </w:rPr>
              <w:t xml:space="preserve"> giới thiệu</w:t>
            </w:r>
            <w:r>
              <w:rPr>
                <w:sz w:val="28"/>
                <w:szCs w:val="28"/>
              </w:rPr>
              <w:t xml:space="preserve"> sản phẩm đèn lồng đồ chơi của mình.</w:t>
            </w:r>
          </w:p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nhận xét sản phẩm của nhóm bạn dựa vào các tiêu chí trong phiếu đánh giá: </w:t>
            </w:r>
          </w:p>
          <w:p w:rsidR="00961508" w:rsidRDefault="0096150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 wp14:anchorId="2D284060" wp14:editId="7C3A5FDD">
                  <wp:extent cx="2990850" cy="1291768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(4)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9" t="29762" r="6049" b="4129"/>
                          <a:stretch/>
                        </pic:blipFill>
                        <pic:spPr bwMode="auto">
                          <a:xfrm>
                            <a:off x="0" y="0"/>
                            <a:ext cx="3013629" cy="1301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6338" w:rsidRDefault="0055633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sản phẩm và thái độ làm việc của cả lớp. Tổng kết kết quả đánh giá sản phẩm đèn lồng đồ chơi của cả nhóm hoặc từng HS.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1158"/>
              <w:gridCol w:w="1158"/>
              <w:gridCol w:w="1159"/>
            </w:tblGrid>
            <w:tr w:rsidR="00961508" w:rsidRPr="00E11519" w:rsidTr="00BA045D"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  <w:jc w:val="center"/>
                    <w:rPr>
                      <w:b/>
                    </w:rPr>
                  </w:pPr>
                  <w:r w:rsidRPr="00E11519">
                    <w:rPr>
                      <w:b/>
                    </w:rPr>
                    <w:t>Tiêu chí đánh giá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  <w:jc w:val="center"/>
                    <w:rPr>
                      <w:b/>
                    </w:rPr>
                  </w:pPr>
                  <w:r w:rsidRPr="00E11519">
                    <w:rPr>
                      <w:b/>
                    </w:rPr>
                    <w:t>Mức độ *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  <w:jc w:val="center"/>
                    <w:rPr>
                      <w:b/>
                    </w:rPr>
                  </w:pPr>
                  <w:r w:rsidRPr="00E11519">
                    <w:rPr>
                      <w:b/>
                    </w:rPr>
                    <w:t>Mức độ **</w:t>
                  </w:r>
                </w:p>
              </w:tc>
              <w:tc>
                <w:tcPr>
                  <w:tcW w:w="1159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  <w:jc w:val="center"/>
                    <w:rPr>
                      <w:b/>
                    </w:rPr>
                  </w:pPr>
                  <w:r w:rsidRPr="00E11519">
                    <w:rPr>
                      <w:b/>
                    </w:rPr>
                    <w:t>Mức độ ***</w:t>
                  </w:r>
                </w:p>
              </w:tc>
            </w:tr>
            <w:tr w:rsidR="00961508" w:rsidRPr="00E11519" w:rsidTr="00BA045D"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  <w:rPr>
                      <w:b/>
                    </w:rPr>
                  </w:pPr>
                  <w:r w:rsidRPr="00E11519">
                    <w:rPr>
                      <w:b/>
                    </w:rPr>
                    <w:t>Đầy đủ các bộ phận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Còn thiếu 2 bộ phận.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Còn thiếu một bộ phận.</w:t>
                  </w:r>
                </w:p>
              </w:tc>
              <w:tc>
                <w:tcPr>
                  <w:tcW w:w="1159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Đầy đủ và hoàn chỉnh các bộ phận.</w:t>
                  </w:r>
                </w:p>
              </w:tc>
            </w:tr>
            <w:tr w:rsidR="00961508" w:rsidRPr="00E11519" w:rsidTr="00BA045D"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b/>
                    </w:rPr>
                  </w:pPr>
                  <w:r w:rsidRPr="00E11519">
                    <w:rPr>
                      <w:b/>
                    </w:rPr>
                    <w:t>Chắc chắn, cân đối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Các bộ phận ghép với nhau còn lỏng lẻo.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Tay cầm chưa chắc chắn.</w:t>
                  </w:r>
                </w:p>
              </w:tc>
              <w:tc>
                <w:tcPr>
                  <w:tcW w:w="1159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Thân đèn cân đối, tay cầm chắc chắn.</w:t>
                  </w:r>
                </w:p>
              </w:tc>
            </w:tr>
            <w:tr w:rsidR="00961508" w:rsidRPr="00E11519" w:rsidTr="00BA045D"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b/>
                    </w:rPr>
                  </w:pPr>
                  <w:r w:rsidRPr="00E11519">
                    <w:rPr>
                      <w:b/>
                    </w:rPr>
                    <w:t>Trang trí đẹp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Lựa chọn giấy màu có màu sắc chưa hài hoà.</w:t>
                  </w:r>
                </w:p>
              </w:tc>
              <w:tc>
                <w:tcPr>
                  <w:tcW w:w="1158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Có trang trí nhưng màu sắc chưa hài hoà.</w:t>
                  </w:r>
                </w:p>
              </w:tc>
              <w:tc>
                <w:tcPr>
                  <w:tcW w:w="1159" w:type="dxa"/>
                </w:tcPr>
                <w:p w:rsidR="00961508" w:rsidRPr="00E11519" w:rsidRDefault="00961508" w:rsidP="00961508">
                  <w:pPr>
                    <w:pStyle w:val="NormalWeb"/>
                    <w:spacing w:before="0" w:beforeAutospacing="0" w:after="0" w:afterAutospacing="0" w:line="288" w:lineRule="auto"/>
                  </w:pPr>
                  <w:r w:rsidRPr="00E11519">
                    <w:t>Lựa chọn giấy màu có màu sắc hài hoà, hình vẽ trang trí đẹp.</w:t>
                  </w:r>
                </w:p>
              </w:tc>
            </w:tr>
          </w:tbl>
          <w:p w:rsidR="00961508" w:rsidRPr="00BE5FB6" w:rsidRDefault="00961508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9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B6606D" w:rsidRDefault="00B6606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E47296" w:rsidRPr="00E47296" w:rsidRDefault="00E47296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</w:t>
            </w: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tính chi phí làm ra một sản phẩm hoặc các sản phẩm của cùng một nhóm (tận dụng một số vật liệu)</w:t>
            </w:r>
          </w:p>
          <w:p w:rsidR="008D6C18" w:rsidRDefault="008D6C1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8D6C18" w:rsidRDefault="008D6C1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8D6C18" w:rsidRDefault="008D6C1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8D6C18" w:rsidRDefault="008D6C1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8D6C18" w:rsidRDefault="008D6C1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một số nhóm trình bày.</w:t>
            </w:r>
          </w:p>
          <w:p w:rsidR="00B6606D" w:rsidRDefault="00B6606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xét, bổ sung.</w:t>
            </w: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E47296" w:rsidRPr="00E47296" w:rsidRDefault="00E47296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</w:t>
            </w: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nhóm giới thiệu sản phẩm đèn lồng đồ chơi.</w:t>
            </w: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nhận xét theo các tiêu chí.</w:t>
            </w: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</w:tc>
      </w:tr>
      <w:tr w:rsidR="00556338" w:rsidTr="002E43D6">
        <w:trPr>
          <w:trHeight w:val="2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3. Vận dụng trải nghiệm.</w:t>
            </w:r>
          </w:p>
          <w:p w:rsidR="00556338" w:rsidRDefault="00556338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Sử dụng đúng cách và an toàn đèn lồng đồ chơi do mình làm ra.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Vận dụng kiến thức đã học vào thực tiễn. Qua đó phát triển năng lực công nghệ và năng lực thẩm mĩ.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556338" w:rsidRDefault="00556338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</w:rPr>
              <w:t>- Cách tiến hành:</w:t>
            </w:r>
          </w:p>
        </w:tc>
      </w:tr>
      <w:tr w:rsidR="00556338" w:rsidTr="002E43D6">
        <w:trPr>
          <w:trHeight w:val="20"/>
        </w:trPr>
        <w:tc>
          <w:tcPr>
            <w:tcW w:w="2681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tổ chức cho HS tham gia chơi đồ chơi do mình làm ra và trưng bày sản phẩm sáng tạo và thời gian thích hợp 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Để phát triển khả năng sáng tạo của HS,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GV hướng dẫn HS làm đèn lồng từ vật liệu tái chế.</w:t>
            </w:r>
          </w:p>
          <w:p w:rsidR="00D708AF" w:rsidRDefault="00D708AF" w:rsidP="00D708AF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590800" cy="15098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c74cef7d48004de5d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82" cy="151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3EC" w:rsidRDefault="003B03E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Yêu cầu HS dọn dẹp vệ sinh lớp học, cất gọn dụng cụ và vật liệu để sử dụng cho lần sau, tiết kiệm chi phí.</w:t>
            </w:r>
          </w:p>
          <w:p w:rsidR="00E10B43" w:rsidRDefault="00E10B43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cung cấp thêm thông tin: </w:t>
            </w:r>
            <w:r w:rsidRPr="00E10B43">
              <w:rPr>
                <w:rFonts w:eastAsia="Times New Roman"/>
                <w:szCs w:val="28"/>
                <w:lang w:val="nl-NL"/>
              </w:rPr>
              <w:t xml:space="preserve">Đèn lồng có thể được thắp sáng nhờ gắn thêm bộ phận phát sáng nhỏ </w:t>
            </w:r>
            <w:r w:rsidR="00E3523E">
              <w:rPr>
                <w:rFonts w:eastAsia="Times New Roman"/>
                <w:szCs w:val="28"/>
                <w:lang w:val="nl-NL"/>
              </w:rPr>
              <w:t>(</w:t>
            </w:r>
            <w:r w:rsidRPr="00E10B43">
              <w:rPr>
                <w:rFonts w:eastAsia="Times New Roman"/>
                <w:szCs w:val="28"/>
                <w:lang w:val="nl-NL"/>
              </w:rPr>
              <w:t>nếu hoặc đèn pin nhỏ</w:t>
            </w:r>
            <w:r w:rsidR="00E3523E">
              <w:rPr>
                <w:rFonts w:eastAsia="Times New Roman"/>
                <w:szCs w:val="28"/>
                <w:lang w:val="nl-NL"/>
              </w:rPr>
              <w:t>)</w:t>
            </w:r>
            <w:r w:rsidRPr="00E10B43">
              <w:rPr>
                <w:rFonts w:eastAsia="Times New Roman"/>
                <w:szCs w:val="28"/>
                <w:lang w:val="nl-NL"/>
              </w:rPr>
              <w:t>. Ngày nay</w:t>
            </w:r>
            <w:r w:rsidR="00E3523E">
              <w:rPr>
                <w:rFonts w:eastAsia="Times New Roman"/>
                <w:szCs w:val="28"/>
                <w:lang w:val="nl-NL"/>
              </w:rPr>
              <w:t>,</w:t>
            </w:r>
            <w:r w:rsidRPr="00E10B43">
              <w:rPr>
                <w:rFonts w:eastAsia="Times New Roman"/>
                <w:szCs w:val="28"/>
                <w:lang w:val="nl-NL"/>
              </w:rPr>
              <w:t xml:space="preserve"> có thể sử dụng đèn phát sáng bằng pin nhỏ gọn và an toàn để thắp sáng cho đèn lồng</w:t>
            </w:r>
            <w:r w:rsidR="00E3523E">
              <w:rPr>
                <w:rFonts w:eastAsia="Times New Roman"/>
                <w:szCs w:val="28"/>
                <w:lang w:val="nl-NL"/>
              </w:rPr>
              <w:t>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Nhận xét sau tiết dạy.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Dặn dò về nhà.</w:t>
            </w:r>
          </w:p>
        </w:tc>
        <w:tc>
          <w:tcPr>
            <w:tcW w:w="231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Học sinh tham gia chơi.</w:t>
            </w:r>
          </w:p>
          <w:p w:rsidR="00D708AF" w:rsidRDefault="00D708A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61508" w:rsidRDefault="0096150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có thể về nhà làm.</w:t>
            </w: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FB5E5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B5E5C" w:rsidRDefault="00FB5E5C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56338" w:rsidRDefault="00556338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556338" w:rsidTr="002E43D6">
        <w:trPr>
          <w:trHeight w:val="2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38" w:rsidRDefault="00556338" w:rsidP="002E43D6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556338" w:rsidRDefault="00556338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556338" w:rsidRDefault="00556338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556338" w:rsidRDefault="00556338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556338" w:rsidRPr="00E954AC" w:rsidRDefault="00556338" w:rsidP="00556338">
      <w:pPr>
        <w:rPr>
          <w:szCs w:val="28"/>
        </w:rPr>
      </w:pPr>
    </w:p>
    <w:p w:rsidR="00556338" w:rsidRPr="00E954AC" w:rsidRDefault="00556338" w:rsidP="00556338">
      <w:pPr>
        <w:rPr>
          <w:szCs w:val="28"/>
        </w:rPr>
      </w:pPr>
    </w:p>
    <w:p w:rsidR="00556338" w:rsidRDefault="00556338" w:rsidP="00556338">
      <w:pPr>
        <w:rPr>
          <w:szCs w:val="28"/>
        </w:rPr>
      </w:pPr>
    </w:p>
    <w:p w:rsidR="00556338" w:rsidRPr="00E954AC" w:rsidRDefault="00556338" w:rsidP="00556338">
      <w:pPr>
        <w:rPr>
          <w:szCs w:val="28"/>
        </w:rPr>
      </w:pPr>
    </w:p>
    <w:p w:rsidR="005327DA" w:rsidRDefault="00E0210A"/>
    <w:sectPr w:rsidR="005327DA" w:rsidSect="00D77F7D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38"/>
    <w:rsid w:val="000A093F"/>
    <w:rsid w:val="001234A3"/>
    <w:rsid w:val="0018041A"/>
    <w:rsid w:val="003B03EC"/>
    <w:rsid w:val="004211B6"/>
    <w:rsid w:val="00556338"/>
    <w:rsid w:val="008D1B27"/>
    <w:rsid w:val="008D6C18"/>
    <w:rsid w:val="00961508"/>
    <w:rsid w:val="00B6606D"/>
    <w:rsid w:val="00B85573"/>
    <w:rsid w:val="00D21F90"/>
    <w:rsid w:val="00D32503"/>
    <w:rsid w:val="00D708AF"/>
    <w:rsid w:val="00D77F7D"/>
    <w:rsid w:val="00DA5F01"/>
    <w:rsid w:val="00DE77C2"/>
    <w:rsid w:val="00E0210A"/>
    <w:rsid w:val="00E10B43"/>
    <w:rsid w:val="00E3523E"/>
    <w:rsid w:val="00E47296"/>
    <w:rsid w:val="00E96EC9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38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rsid w:val="0055633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556338"/>
    <w:rPr>
      <w:b/>
      <w:bCs/>
    </w:rPr>
  </w:style>
  <w:style w:type="table" w:styleId="TableGrid">
    <w:name w:val="Table Grid"/>
    <w:basedOn w:val="TableNormal"/>
    <w:uiPriority w:val="39"/>
    <w:rsid w:val="0055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38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rsid w:val="0055633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556338"/>
    <w:rPr>
      <w:b/>
      <w:bCs/>
    </w:rPr>
  </w:style>
  <w:style w:type="table" w:styleId="TableGrid">
    <w:name w:val="Table Grid"/>
    <w:basedOn w:val="TableNormal"/>
    <w:uiPriority w:val="39"/>
    <w:rsid w:val="0055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2023-06-30T09:16:00Z</dcterms:created>
  <dcterms:modified xsi:type="dcterms:W3CDTF">2023-06-30T09:16:00Z</dcterms:modified>
</cp:coreProperties>
</file>