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PHÂN PHỐI CHƯƠNG TRÌNH MÔN VẬT LÍ 10 – KNTT (Tham khảo)</w:t>
      </w:r>
    </w:p>
    <w:tbl>
      <w:tblPr>
        <w:tblStyle w:val="Table1"/>
        <w:tblW w:w="10423.0" w:type="dxa"/>
        <w:jc w:val="left"/>
        <w:tblInd w:w="47.99999999999999" w:type="dxa"/>
        <w:tblBorders>
          <w:top w:color="ed7d31" w:space="0" w:sz="4" w:val="single"/>
          <w:left w:color="ed7d31" w:space="0" w:sz="4" w:val="single"/>
          <w:bottom w:color="ed7d31" w:space="0" w:sz="4" w:val="single"/>
          <w:right w:color="ed7d31" w:space="0" w:sz="4" w:val="single"/>
          <w:insideH w:color="f7cbac" w:space="0" w:sz="4" w:val="single"/>
          <w:insideV w:color="f7cbac" w:space="0" w:sz="4" w:val="single"/>
        </w:tblBorders>
        <w:tblLayout w:type="fixed"/>
        <w:tblLook w:val="0000"/>
      </w:tblPr>
      <w:tblGrid>
        <w:gridCol w:w="916"/>
        <w:gridCol w:w="6964"/>
        <w:gridCol w:w="2543"/>
        <w:tblGridChange w:id="0">
          <w:tblGrid>
            <w:gridCol w:w="916"/>
            <w:gridCol w:w="6964"/>
            <w:gridCol w:w="2543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TÊN BÀI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Số tiết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Chương I. Mở đầu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Làm quen với Vật lí học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2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Các quy tắc an toàn trong phòng thí nghiệm Vật lí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Thực hành tính sai số trong phép đo. Ghi kết quả đo.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Chương II. Động học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Độ dịch chuyển và quãng đường đi được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6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Tốc độ và vận tốc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8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Thực hành: đo tốc độ của vật chuyển động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Đồ thị độ dịch chuyển – thời gian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10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11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Chuyển động thẳng biến đổi. Gia tốc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12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13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Chuyển động thẳng biến đổi đều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Sự rơi tự do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Thực hành: đo gia tốc rơi tự do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Chuyển động ném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17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18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Ôn tập và kiểm tra giữa học kì 1 (Bổ sung sau)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19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20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Chương III. Động lực học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Tổng hợp và phân tích lực. Cân bằng lực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21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22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Định luật I Newton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Định luật II Newton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24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25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Định luật III Newton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Trọng lực và lực căng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Lực ma sát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28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29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Lực cản và lực nâng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Ví dụ giải các bài toán về động lực học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Thực hành: Tổng hợp lực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Momen lực. Cân bằng của vật rắn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Ôn tập kiểm tra học kì I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34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35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Kiểm tra học kì I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Chương IV. Năng lượng, công và năng suất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Năng lượng và sự chuyển hóa năng lượng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37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38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Công suất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39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40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Động năng. Thế năng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41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42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Cơ năng. Định luật bảo toàn cơ năng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43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45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Hiệu suất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46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47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Chương V. Động lượng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Động lượng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48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49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Định luật Bảo toàn động lượng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50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52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Thực hành: Xác định động lượng của vật trước và sau va chạm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53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54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Ôn tập và kiểm tra giữa học kì 2 (Bổ sung sau)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55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56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Chương VI. Chuyển động tròn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Động học của chuyển động tròn đều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57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Gia tốc hướng tâm và lực hướng tâm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59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  <m:t xml:space="preserve">→ 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Biến dạng của vật rắn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61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62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Khối lượng riêng. Áp suất chất lỏng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63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64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Ôn tập và kiểm tra học kì 2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65 </w:t>
            </w:r>
            <m:oMath>
              <m:r>
                <m:t>→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69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Kiểm tra học kì 2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</w:tr>
    </w:tbl>
    <w:p w:rsidR="00000000" w:rsidDel="00000000" w:rsidP="00000000" w:rsidRDefault="00000000" w:rsidRPr="00000000" w14:paraId="0000008F">
      <w:pPr>
        <w:pStyle w:val="Heading2"/>
        <w:spacing w:after="0" w:before="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2"/>
        <w:spacing w:after="0" w:before="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PHÂN PHỐI CHƯƠNG TRÌNH CHUYÊN ĐỀ VẬT LÍ 10 - KNTT</w:t>
      </w:r>
    </w:p>
    <w:tbl>
      <w:tblPr>
        <w:tblStyle w:val="Table2"/>
        <w:tblW w:w="10059.999999999998" w:type="dxa"/>
        <w:jc w:val="center"/>
        <w:tblBorders>
          <w:top w:color="ed7d31" w:space="0" w:sz="4" w:val="single"/>
          <w:left w:color="ed7d31" w:space="0" w:sz="4" w:val="single"/>
          <w:bottom w:color="ed7d31" w:space="0" w:sz="4" w:val="single"/>
          <w:right w:color="ed7d31" w:space="0" w:sz="4" w:val="single"/>
          <w:insideH w:color="f7cbac" w:space="0" w:sz="4" w:val="single"/>
          <w:insideV w:color="f7cbac" w:space="0" w:sz="4" w:val="single"/>
        </w:tblBorders>
        <w:tblLayout w:type="fixed"/>
        <w:tblLook w:val="0000"/>
      </w:tblPr>
      <w:tblGrid>
        <w:gridCol w:w="846"/>
        <w:gridCol w:w="2126"/>
        <w:gridCol w:w="4824"/>
        <w:gridCol w:w="2264"/>
        <w:tblGridChange w:id="0">
          <w:tblGrid>
            <w:gridCol w:w="846"/>
            <w:gridCol w:w="2126"/>
            <w:gridCol w:w="4824"/>
            <w:gridCol w:w="226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Tên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Chuyên đề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Tên bài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Số tiết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Vật lí trong một số ngành nghề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1. Sơ lược về sự phát triển của Vật lí học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tiết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2. Giới thiệu các lĩnh vực nghiên cứu trong Vật lí học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tiết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3. Giới thiệu các ứng dụng của Vật lí trong một số ngành nghề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tiết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Trái Đất và bầu trời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4. Xác định phương hướng trên bầu trời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tiết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5. Chuyển động nhìn thấy của một số thiên thể trên nền trời sao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tiết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6. Một số hiện tượng thiên văn (Nhật thực, nguyệt thực, thủy triều)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tiết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Vật lí với giáo dục về bảo vệ môi trường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7. Sự cần thiết bảo vệ môi trường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tiết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8. Tác động của việc sử dụng năng lượng ở Việt Nam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tiết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9. Sơ lược về các chất gây ô nhiễm môi trường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tiết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Bài 10. Năng lượng tái tạo và một số công nghệ thu năng lượng tái tạo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tiết</w:t>
            </w:r>
          </w:p>
        </w:tc>
      </w:tr>
    </w:tbl>
    <w:p w:rsidR="00000000" w:rsidDel="00000000" w:rsidP="00000000" w:rsidRDefault="00000000" w:rsidRPr="00000000" w14:paraId="000000BE">
      <w:pPr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7" w:top="567" w:left="851" w:right="851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rFonts w:eastAsia="Calibri"/>
      <w:sz w:val="28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 w:val="1"/>
    <w:pPr>
      <w:spacing w:after="100" w:afterAutospacing="1" w:before="100" w:beforeAutospacing="1" w:line="240" w:lineRule="auto"/>
      <w:outlineLvl w:val="1"/>
    </w:pPr>
    <w:rPr>
      <w:rFonts w:eastAsia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Pr>
      <w:rFonts w:cs="Times New Roman" w:eastAsia="Times New Roman"/>
      <w:b w:val="1"/>
      <w:bCs w:val="1"/>
      <w:sz w:val="36"/>
      <w:szCs w:val="36"/>
    </w:rPr>
  </w:style>
  <w:style w:type="paragraph" w:styleId="BodyText">
    <w:name w:val="Body Text"/>
    <w:basedOn w:val="Normal"/>
    <w:link w:val="BodyTextChar"/>
    <w:uiPriority w:val="1"/>
    <w:qFormat w:val="1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Pr>
      <w:rFonts w:cs="Times New Roman"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Pr>
      <w:color w:val="0000ff"/>
      <w:u w:val="single"/>
    </w:rPr>
  </w:style>
  <w:style w:type="paragraph" w:styleId="NormalWeb">
    <w:name w:val="Normal (Web)"/>
    <w:basedOn w:val="Normal"/>
    <w:unhideWhenUsed w:val="1"/>
    <w:pPr>
      <w:spacing w:after="100" w:afterAutospacing="1" w:before="100" w:before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qFormat w:val="1"/>
    <w:rPr>
      <w:b w:val="1"/>
      <w:bCs w:val="1"/>
    </w:rPr>
  </w:style>
  <w:style w:type="table" w:styleId="LightList-Accent2">
    <w:name w:val="Light List Accent 2"/>
    <w:basedOn w:val="TableNormal"/>
    <w:uiPriority w:val="61"/>
    <w:rsid w:val="002E6BD5"/>
    <w:tblPr>
      <w:tblStyleRowBandSize w:val="1"/>
      <w:tblStyleColBandSize w:val="1"/>
      <w:tblBorders>
        <w:top w:color="ed7d31" w:space="0" w:sz="8" w:themeColor="accent2" w:val="single"/>
        <w:left w:color="ed7d31" w:space="0" w:sz="8" w:themeColor="accent2" w:val="single"/>
        <w:bottom w:color="ed7d31" w:space="0" w:sz="8" w:themeColor="accent2" w:val="single"/>
        <w:right w:color="ed7d31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ed7d31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ed7d31" w:space="0" w:sz="6" w:themeColor="accent2" w:val="doub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  <w:tblStylePr w:type="band1Horz">
      <w:tblPr/>
      <w:tcPr>
        <w:tcBorders>
          <w:top w:color="ed7d31" w:space="0" w:sz="8" w:themeColor="accent2" w:val="single"/>
          <w:left w:color="ed7d31" w:space="0" w:sz="8" w:themeColor="accent2" w:val="single"/>
          <w:bottom w:color="ed7d31" w:space="0" w:sz="8" w:themeColor="accent2" w:val="single"/>
          <w:right w:color="ed7d31" w:space="0" w:sz="8" w:themeColor="accent2" w:val="single"/>
        </w:tcBorders>
      </w:tcPr>
    </w:tblStylePr>
  </w:style>
  <w:style w:type="character" w:styleId="PlaceholderText">
    <w:name w:val="Placeholder Text"/>
    <w:basedOn w:val="DefaultParagraphFont"/>
    <w:uiPriority w:val="99"/>
    <w:unhideWhenUsed w:val="1"/>
    <w:rsid w:val="00995DB8"/>
    <w:rPr>
      <w:color w:val="808080"/>
    </w:rPr>
  </w:style>
  <w:style w:type="table" w:styleId="GridTable2-Accent4">
    <w:name w:val="Grid Table 2 Accent 4"/>
    <w:basedOn w:val="TableNormal"/>
    <w:uiPriority w:val="47"/>
    <w:rsid w:val="00310B5A"/>
    <w:tblPr>
      <w:tblStyleRowBandSize w:val="1"/>
      <w:tblStyleColBandSize w:val="1"/>
      <w:tblBorders>
        <w:top w:color="ffd966" w:space="0" w:sz="2" w:themeColor="accent4" w:themeTint="000099" w:val="single"/>
        <w:bottom w:color="ffd966" w:space="0" w:sz="2" w:themeColor="accent4" w:themeTint="000099" w:val="single"/>
        <w:insideH w:color="ffd966" w:space="0" w:sz="2" w:themeColor="accent4" w:themeTint="000099" w:val="single"/>
        <w:insideV w:color="ffd966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fd966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fd966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GridTable1Light-Accent4">
    <w:name w:val="Grid Table 1 Light Accent 4"/>
    <w:basedOn w:val="TableNormal"/>
    <w:uiPriority w:val="46"/>
    <w:rsid w:val="00310B5A"/>
    <w:tblPr>
      <w:tblStyleRowBandSize w:val="1"/>
      <w:tblStyleColBandSize w:val="1"/>
      <w:tblBorders>
        <w:top w:color="ffe599" w:space="0" w:sz="4" w:themeColor="accent4" w:themeTint="000066" w:val="single"/>
        <w:left w:color="ffe599" w:space="0" w:sz="4" w:themeColor="accent4" w:themeTint="000066" w:val="single"/>
        <w:bottom w:color="ffe599" w:space="0" w:sz="4" w:themeColor="accent4" w:themeTint="000066" w:val="single"/>
        <w:right w:color="ffe599" w:space="0" w:sz="4" w:themeColor="accent4" w:themeTint="000066" w:val="single"/>
        <w:insideH w:color="ffe599" w:space="0" w:sz="4" w:themeColor="accent4" w:themeTint="000066" w:val="single"/>
        <w:insideV w:color="ffe599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ffd966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d966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310B5A"/>
    <w:tblPr>
      <w:tblStyleRowBandSize w:val="1"/>
      <w:tblStyleColBandSize w:val="1"/>
      <w:tblBorders>
        <w:top w:color="f7caac" w:space="0" w:sz="4" w:themeColor="accent2" w:themeTint="000066" w:val="single"/>
        <w:left w:color="f7caac" w:space="0" w:sz="4" w:themeColor="accent2" w:themeTint="000066" w:val="single"/>
        <w:bottom w:color="f7caac" w:space="0" w:sz="4" w:themeColor="accent2" w:themeTint="000066" w:val="single"/>
        <w:right w:color="f7caac" w:space="0" w:sz="4" w:themeColor="accent2" w:themeTint="000066" w:val="single"/>
        <w:insideH w:color="f7caac" w:space="0" w:sz="4" w:themeColor="accent2" w:themeTint="000066" w:val="single"/>
        <w:insideV w:color="f7caac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ListTable3-Accent2">
    <w:name w:val="List Table 3 Accent 2"/>
    <w:basedOn w:val="TableNormal"/>
    <w:uiPriority w:val="48"/>
    <w:rsid w:val="00310B5A"/>
    <w:tblPr>
      <w:tblStyleRowBandSize w:val="1"/>
      <w:tblStyleColBandSize w:val="1"/>
      <w:tblBorders>
        <w:top w:color="ed7d31" w:space="0" w:sz="4" w:themeColor="accent2" w:val="single"/>
        <w:left w:color="ed7d31" w:space="0" w:sz="4" w:themeColor="accent2" w:val="single"/>
        <w:bottom w:color="ed7d31" w:space="0" w:sz="4" w:themeColor="accent2" w:val="single"/>
        <w:right w:color="ed7d31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ed7d31" w:space="0" w:sz="4" w:themeColor="accent2" w:val="single"/>
          <w:right w:color="ed7d31" w:space="0" w:sz="4" w:themeColor="accent2" w:val="single"/>
        </w:tcBorders>
      </w:tcPr>
    </w:tblStylePr>
    <w:tblStylePr w:type="band1Horz">
      <w:tblPr/>
      <w:tcPr>
        <w:tcBorders>
          <w:top w:color="ed7d31" w:space="0" w:sz="4" w:themeColor="accent2" w:val="single"/>
          <w:bottom w:color="ed7d31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ed7d31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ed7d31" w:space="0" w:sz="4" w:themeColor="accent2" w:val="double"/>
          <w:right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ed7d31" w:space="0" w:sz="8" w:val="single"/>
          <w:left w:color="ed7d31" w:space="0" w:sz="8" w:val="single"/>
          <w:bottom w:color="ed7d31" w:space="0" w:sz="8" w:val="single"/>
          <w:right w:color="ed7d31" w:space="0" w:sz="8" w:val="single"/>
        </w:tcBorders>
      </w:tcPr>
    </w:tblStylePr>
    <w:tblStylePr w:type="band1Vert">
      <w:tcPr>
        <w:tcBorders>
          <w:top w:color="ed7d31" w:space="0" w:sz="8" w:val="single"/>
          <w:left w:color="ed7d31" w:space="0" w:sz="8" w:val="single"/>
          <w:bottom w:color="ed7d31" w:space="0" w:sz="8" w:val="single"/>
          <w:right w:color="ed7d31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ed7d31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ed7d31" w:space="0" w:sz="6" w:val="single"/>
          <w:left w:color="ed7d31" w:space="0" w:sz="8" w:val="single"/>
          <w:bottom w:color="ed7d31" w:space="0" w:sz="8" w:val="single"/>
          <w:right w:color="ed7d31" w:space="0" w:sz="8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ed7d31" w:space="0" w:sz="4" w:val="single"/>
          <w:bottom w:color="ed7d31" w:space="0" w:sz="4" w:val="single"/>
          <w:insideH w:color="000000" w:space="0" w:sz="0" w:val="nil"/>
        </w:tcBorders>
      </w:tcPr>
    </w:tblStylePr>
    <w:tblStylePr w:type="band1Vert">
      <w:tcPr>
        <w:tcBorders>
          <w:left w:color="ed7d31" w:space="0" w:sz="4" w:val="single"/>
          <w:right w:color="ed7d31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ed7d31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ed7d31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ed7d31" w:space="0" w:sz="4" w:val="single"/>
          <w:left w:color="000000" w:space="0" w:sz="0" w:val="nil"/>
        </w:tcBorders>
      </w:tcPr>
    </w:tblStylePr>
    <w:tblStylePr w:type="swCell">
      <w:tcPr>
        <w:tcBorders>
          <w:top w:color="ed7d31" w:space="0" w:sz="4" w:val="single"/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7Gxxqop0pj/X0o5L8L+vKw4Y2A==">AMUW2mXGCvbETWrqSdnjvQ0n6Kn17q4msREGLe4Gbqzxd3N90EkzUIdJ9axXvSMxDoU1Hq4S4TRwxvJT7UJII485PjDJ5iARhdmDQ3jZj4ZtkB9X4FsZfLk=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2022-08-16T15:37:00Z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FC8F58FAA9234C5FB9B456B2EBCCC37C</vt:lpwstr>
  </property>
</Properties>
</file>