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7 i-Learn Smart World - Kiểm tra cuối kỳ 1</w:t>
            </w:r>
            <w:r>
              <w:rPr>
                <w:b/>
                <w:bCs/>
                <w:color w:val="188fba"/>
              </w:rPr>
              <w:br/>
              <w:t xml:space="preserve">Time allotted: 45 minutes</w:t>
            </w:r>
          </w:p>
        </w:tc>
      </w:tr>
    </w:tbl>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29 - 33</w:t>
      </w:r>
    </w:p>
    <w:p>
      <w:r>
        <w:t xml:space="preserve">OK. Thank you for coming this morning. We are going to clean up Green Park today. I’m going to put you into teams now. It’s better to do the work with other people.
</w:t>
      </w:r>
      <w:r>
        <w:br/>
        <w:t xml:space="preserve">Each team will clean up one part of the park. Team A will do the fields for soccer and baseball. Team B will clear up the tennis courts. Team C will do all the paths, and Team D will do the grass around the lake.
</w:t>
      </w:r>
      <w:r>
        <w:br/>
        <w:t xml:space="preserve">You must wear gloves because some of the trash is dangerous. Now, please put all the glass into the recycle boxes. You must put the different colors in different boxes – clear, green, brown, and so on. Put all the cans in recycle boxes, too. Put all the other trash into black bags.</w:t>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2023-12-15T03:04:26.778Z</dcterms:created>
  <dcterms:modified xsi:type="dcterms:W3CDTF">2023-12-15T03:04:26.778Z</dcterms:modified>
</cp:coreProperties>
</file>

<file path=docProps/custom.xml><?xml version="1.0" encoding="utf-8"?>
<Properties xmlns="http://schemas.openxmlformats.org/officeDocument/2006/custom-properties" xmlns:vt="http://schemas.openxmlformats.org/officeDocument/2006/docPropsVTypes"/>
</file>